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94F" w:rsidRDefault="009E294F" w:rsidP="00090082">
      <w:pPr>
        <w:jc w:val="center"/>
        <w:rPr>
          <w:b/>
          <w:sz w:val="26"/>
          <w:szCs w:val="26"/>
        </w:rPr>
      </w:pPr>
    </w:p>
    <w:p w:rsidR="00090082" w:rsidRPr="00FE43D9" w:rsidRDefault="00090082" w:rsidP="00090082">
      <w:pPr>
        <w:jc w:val="center"/>
        <w:rPr>
          <w:b/>
          <w:sz w:val="26"/>
          <w:szCs w:val="26"/>
        </w:rPr>
      </w:pPr>
      <w:r w:rsidRPr="00FE43D9">
        <w:rPr>
          <w:b/>
          <w:sz w:val="26"/>
          <w:szCs w:val="26"/>
        </w:rPr>
        <w:t>DOKUMENTACE PRO PROVÁDĚNÍ STAVBY</w:t>
      </w:r>
    </w:p>
    <w:p w:rsidR="00090082" w:rsidRPr="00FE43D9" w:rsidRDefault="00090082" w:rsidP="00090082">
      <w:pPr>
        <w:jc w:val="center"/>
        <w:rPr>
          <w:b/>
          <w:sz w:val="16"/>
          <w:szCs w:val="16"/>
        </w:rPr>
      </w:pPr>
      <w:r w:rsidRPr="00FE43D9">
        <w:rPr>
          <w:b/>
          <w:sz w:val="16"/>
          <w:szCs w:val="16"/>
        </w:rPr>
        <w:t xml:space="preserve">(ve smyslu přílohy č. </w:t>
      </w:r>
      <w:r>
        <w:rPr>
          <w:b/>
          <w:sz w:val="16"/>
          <w:szCs w:val="16"/>
        </w:rPr>
        <w:t>13</w:t>
      </w:r>
      <w:r w:rsidRPr="00FE43D9">
        <w:rPr>
          <w:b/>
          <w:sz w:val="16"/>
          <w:szCs w:val="16"/>
        </w:rPr>
        <w:t xml:space="preserve"> vyhlášky č. 499/2006 Sb.)</w:t>
      </w:r>
    </w:p>
    <w:p w:rsidR="006D42E2" w:rsidRDefault="006D42E2">
      <w:pPr>
        <w:jc w:val="center"/>
        <w:rPr>
          <w:b/>
        </w:rPr>
      </w:pPr>
    </w:p>
    <w:p w:rsidR="009E294F" w:rsidRDefault="009E294F">
      <w:pPr>
        <w:jc w:val="center"/>
        <w:rPr>
          <w:b/>
        </w:rPr>
      </w:pPr>
    </w:p>
    <w:tbl>
      <w:tblPr>
        <w:tblStyle w:val="Mkatabul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8181"/>
      </w:tblGrid>
      <w:tr w:rsidR="0036156D" w:rsidTr="0036156D">
        <w:tc>
          <w:tcPr>
            <w:tcW w:w="1141" w:type="dxa"/>
          </w:tcPr>
          <w:p w:rsidR="0036156D" w:rsidRPr="0036156D" w:rsidRDefault="0036156D" w:rsidP="0036156D">
            <w:pPr>
              <w:rPr>
                <w:b/>
                <w:sz w:val="26"/>
                <w:szCs w:val="26"/>
              </w:rPr>
            </w:pPr>
            <w:r w:rsidRPr="0036156D">
              <w:rPr>
                <w:b/>
                <w:sz w:val="26"/>
                <w:szCs w:val="26"/>
              </w:rPr>
              <w:t>D</w:t>
            </w:r>
          </w:p>
        </w:tc>
        <w:tc>
          <w:tcPr>
            <w:tcW w:w="8181" w:type="dxa"/>
          </w:tcPr>
          <w:p w:rsidR="0036156D" w:rsidRPr="0036156D" w:rsidRDefault="0036156D" w:rsidP="0036156D">
            <w:pPr>
              <w:rPr>
                <w:b/>
                <w:sz w:val="26"/>
                <w:szCs w:val="26"/>
              </w:rPr>
            </w:pPr>
            <w:r w:rsidRPr="0036156D">
              <w:rPr>
                <w:b/>
                <w:sz w:val="26"/>
                <w:szCs w:val="26"/>
              </w:rPr>
              <w:t>Dokumentace objektů a technických a technologických zařízení</w:t>
            </w:r>
          </w:p>
        </w:tc>
      </w:tr>
      <w:tr w:rsidR="0036156D" w:rsidTr="0036156D">
        <w:tc>
          <w:tcPr>
            <w:tcW w:w="1141" w:type="dxa"/>
          </w:tcPr>
          <w:p w:rsidR="0036156D" w:rsidRPr="0036156D" w:rsidRDefault="0036156D" w:rsidP="0036156D">
            <w:pPr>
              <w:rPr>
                <w:b/>
                <w:sz w:val="26"/>
                <w:szCs w:val="26"/>
              </w:rPr>
            </w:pPr>
            <w:proofErr w:type="gramStart"/>
            <w:r w:rsidRPr="0036156D">
              <w:rPr>
                <w:b/>
                <w:sz w:val="26"/>
                <w:szCs w:val="26"/>
              </w:rPr>
              <w:t>D.1</w:t>
            </w:r>
            <w:proofErr w:type="gramEnd"/>
          </w:p>
        </w:tc>
        <w:tc>
          <w:tcPr>
            <w:tcW w:w="8181" w:type="dxa"/>
          </w:tcPr>
          <w:p w:rsidR="0036156D" w:rsidRPr="0036156D" w:rsidRDefault="0036156D" w:rsidP="0036156D">
            <w:pPr>
              <w:rPr>
                <w:b/>
                <w:sz w:val="26"/>
                <w:szCs w:val="26"/>
              </w:rPr>
            </w:pPr>
            <w:r w:rsidRPr="0036156D">
              <w:rPr>
                <w:b/>
                <w:sz w:val="26"/>
                <w:szCs w:val="26"/>
              </w:rPr>
              <w:t>Dokumentace stavebního nebo inženýrského objektu</w:t>
            </w:r>
          </w:p>
        </w:tc>
      </w:tr>
      <w:tr w:rsidR="0036156D" w:rsidTr="0036156D">
        <w:tc>
          <w:tcPr>
            <w:tcW w:w="1141" w:type="dxa"/>
          </w:tcPr>
          <w:p w:rsidR="0036156D" w:rsidRPr="0036156D" w:rsidRDefault="0036156D" w:rsidP="00542404">
            <w:pPr>
              <w:rPr>
                <w:b/>
                <w:sz w:val="26"/>
                <w:szCs w:val="26"/>
              </w:rPr>
            </w:pPr>
            <w:proofErr w:type="gramStart"/>
            <w:r w:rsidRPr="0036156D">
              <w:rPr>
                <w:b/>
                <w:sz w:val="26"/>
                <w:szCs w:val="26"/>
              </w:rPr>
              <w:t>D.1.</w:t>
            </w:r>
            <w:r w:rsidR="00542404">
              <w:rPr>
                <w:b/>
                <w:sz w:val="26"/>
                <w:szCs w:val="26"/>
              </w:rPr>
              <w:t>2</w:t>
            </w:r>
            <w:proofErr w:type="gramEnd"/>
          </w:p>
        </w:tc>
        <w:tc>
          <w:tcPr>
            <w:tcW w:w="8181" w:type="dxa"/>
          </w:tcPr>
          <w:p w:rsidR="0036156D" w:rsidRPr="0036156D" w:rsidRDefault="00542404" w:rsidP="0036156D">
            <w:pPr>
              <w:rPr>
                <w:b/>
                <w:sz w:val="26"/>
                <w:szCs w:val="26"/>
              </w:rPr>
            </w:pPr>
            <w:r w:rsidRPr="00542404">
              <w:rPr>
                <w:b/>
                <w:sz w:val="26"/>
                <w:szCs w:val="26"/>
              </w:rPr>
              <w:t>Stavebně konstrukční řešení</w:t>
            </w:r>
          </w:p>
        </w:tc>
      </w:tr>
      <w:tr w:rsidR="0036156D" w:rsidTr="0036156D">
        <w:tc>
          <w:tcPr>
            <w:tcW w:w="1141" w:type="dxa"/>
          </w:tcPr>
          <w:p w:rsidR="0036156D" w:rsidRPr="0036156D" w:rsidRDefault="0036156D" w:rsidP="00542404">
            <w:pPr>
              <w:rPr>
                <w:b/>
                <w:sz w:val="26"/>
                <w:szCs w:val="26"/>
              </w:rPr>
            </w:pPr>
            <w:proofErr w:type="gramStart"/>
            <w:r w:rsidRPr="0036156D">
              <w:rPr>
                <w:b/>
                <w:sz w:val="26"/>
                <w:szCs w:val="26"/>
              </w:rPr>
              <w:t>D.1.</w:t>
            </w:r>
            <w:r w:rsidR="00542404">
              <w:rPr>
                <w:b/>
                <w:sz w:val="26"/>
                <w:szCs w:val="26"/>
              </w:rPr>
              <w:t>2</w:t>
            </w:r>
            <w:proofErr w:type="gramEnd"/>
            <w:r w:rsidRPr="0036156D">
              <w:rPr>
                <w:b/>
                <w:sz w:val="26"/>
                <w:szCs w:val="26"/>
              </w:rPr>
              <w:t>.a)</w:t>
            </w:r>
          </w:p>
        </w:tc>
        <w:tc>
          <w:tcPr>
            <w:tcW w:w="8181" w:type="dxa"/>
          </w:tcPr>
          <w:p w:rsidR="0036156D" w:rsidRPr="0036156D" w:rsidRDefault="0036156D" w:rsidP="0036156D">
            <w:pPr>
              <w:rPr>
                <w:b/>
                <w:sz w:val="26"/>
                <w:szCs w:val="26"/>
                <w:u w:val="single"/>
              </w:rPr>
            </w:pPr>
            <w:r w:rsidRPr="0036156D">
              <w:rPr>
                <w:b/>
                <w:sz w:val="26"/>
                <w:szCs w:val="26"/>
                <w:u w:val="single"/>
              </w:rPr>
              <w:t>Technická zpráva</w:t>
            </w:r>
          </w:p>
        </w:tc>
      </w:tr>
    </w:tbl>
    <w:p w:rsidR="0036156D" w:rsidRDefault="0036156D">
      <w:pPr>
        <w:jc w:val="center"/>
        <w:rPr>
          <w:b/>
        </w:rPr>
      </w:pPr>
    </w:p>
    <w:p w:rsidR="006D42E2" w:rsidRDefault="006D42E2">
      <w:pPr>
        <w:jc w:val="both"/>
        <w:rPr>
          <w:b/>
        </w:rPr>
      </w:pPr>
    </w:p>
    <w:p w:rsidR="00321DA9" w:rsidRPr="0028398E" w:rsidRDefault="00321DA9">
      <w:pPr>
        <w:jc w:val="both"/>
        <w:rPr>
          <w:b/>
        </w:rPr>
      </w:pPr>
    </w:p>
    <w:p w:rsidR="006D42E2" w:rsidRPr="0028398E" w:rsidRDefault="001D2065">
      <w:pPr>
        <w:jc w:val="both"/>
        <w:rPr>
          <w:b/>
        </w:rPr>
      </w:pPr>
      <w:r w:rsidRPr="0028398E">
        <w:rPr>
          <w:b/>
        </w:rPr>
        <w:t>Obsah:</w:t>
      </w:r>
    </w:p>
    <w:p w:rsidR="006D42E2" w:rsidRPr="0028398E" w:rsidRDefault="006D42E2">
      <w:pPr>
        <w:jc w:val="both"/>
        <w:rPr>
          <w:b/>
        </w:rPr>
      </w:pPr>
    </w:p>
    <w:p w:rsidR="002250E2" w:rsidRDefault="001D2065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11239097" w:history="1">
        <w:r w:rsidR="002250E2" w:rsidRPr="007B7CE5">
          <w:rPr>
            <w:rStyle w:val="Hypertextovodkaz"/>
          </w:rPr>
          <w:t>1)</w:t>
        </w:r>
        <w:r w:rsidR="002250E2"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="002250E2" w:rsidRPr="007B7CE5">
          <w:rPr>
            <w:rStyle w:val="Hypertextovodkaz"/>
          </w:rPr>
          <w:t>Podrobný popis navrženého systému stavby s rozlišením jednotlivých konstrukcí podle druhu, technologie a navržených materiálů</w:t>
        </w:r>
        <w:r w:rsidR="002250E2">
          <w:rPr>
            <w:webHidden/>
          </w:rPr>
          <w:tab/>
        </w:r>
        <w:r w:rsidR="002250E2">
          <w:rPr>
            <w:webHidden/>
          </w:rPr>
          <w:fldChar w:fldCharType="begin"/>
        </w:r>
        <w:r w:rsidR="002250E2">
          <w:rPr>
            <w:webHidden/>
          </w:rPr>
          <w:instrText xml:space="preserve"> PAGEREF _Toc11239097 \h </w:instrText>
        </w:r>
        <w:r w:rsidR="002250E2">
          <w:rPr>
            <w:webHidden/>
          </w:rPr>
        </w:r>
        <w:r w:rsidR="002250E2">
          <w:rPr>
            <w:webHidden/>
          </w:rPr>
          <w:fldChar w:fldCharType="separate"/>
        </w:r>
        <w:r w:rsidR="002250E2">
          <w:rPr>
            <w:webHidden/>
          </w:rPr>
          <w:t>2</w:t>
        </w:r>
        <w:r w:rsidR="002250E2"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06" w:history="1">
        <w:r w:rsidRPr="007B7CE5">
          <w:rPr>
            <w:rStyle w:val="Hypertextovodkaz"/>
          </w:rPr>
          <w:t>2)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Definitní průřezové rozměry jednotlivých konstrukčních prvků případně odkaz na výkresovou dokumentaci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07" w:history="1">
        <w:r w:rsidRPr="007B7CE5">
          <w:rPr>
            <w:rStyle w:val="Hypertextovodkaz"/>
          </w:rPr>
          <w:t>3)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Údaje o uvažovaných zatíženích ve statickém výpočtu – stálá, užitná, klimatická, od anténních soustav, mimořádná apod.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08" w:history="1">
        <w:r w:rsidRPr="007B7CE5">
          <w:rPr>
            <w:rStyle w:val="Hypertextovodkaz"/>
          </w:rPr>
          <w:t>4)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Údaje o požadované jakosti navržených materiálů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09" w:history="1">
        <w:r w:rsidRPr="007B7CE5">
          <w:rPr>
            <w:rStyle w:val="Hypertextovodkaz"/>
          </w:rPr>
          <w:t>5)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Popis netradičních technologických postupů a zvláštních požadavků na provádění a jakost navržených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0" w:history="1">
        <w:r w:rsidRPr="007B7CE5">
          <w:rPr>
            <w:rStyle w:val="Hypertextovodkaz"/>
          </w:rPr>
          <w:t>6)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Zajištění stavební jámy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1" w:history="1">
        <w:r w:rsidRPr="007B7CE5">
          <w:rPr>
            <w:rStyle w:val="Hypertextovodkaz"/>
          </w:rPr>
          <w:t>7)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Stanovení požadovaných kontrol zakrývaných konstrukcí a případných kontrolních měření a zkoušek, pokud jsou požadovány nad rámec povinných - stanovených příslušnými technologickými předpisy a normami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2" w:history="1">
        <w:r w:rsidRPr="007B7CE5">
          <w:rPr>
            <w:rStyle w:val="Hypertextovodkaz"/>
          </w:rPr>
          <w:t>8)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V případě změn stávající stavby – popis konstrukce, jejího současného stavu, technologický postup s upozorněním na nutná opatření k zachování stability a únosností vlastní konstrukce, případně bezprostředně souvisejících objektů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3" w:history="1">
        <w:r w:rsidRPr="007B7CE5">
          <w:rPr>
            <w:rStyle w:val="Hypertextovodkaz"/>
          </w:rPr>
          <w:t>9)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Požadavky na vypracování dokumentace zajišťované zhotovitelem – obsah a rozsah, upozornění na hodnoty minimální únosnosti, které musí konstrukce splňovat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4" w:history="1">
        <w:r w:rsidRPr="007B7CE5">
          <w:rPr>
            <w:rStyle w:val="Hypertextovodkaz"/>
          </w:rPr>
          <w:t>10)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Požadavky na požární ochranu konstrukcí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5" w:history="1">
        <w:r w:rsidRPr="007B7CE5">
          <w:rPr>
            <w:rStyle w:val="Hypertextovodkaz"/>
          </w:rPr>
          <w:t>11)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Seznam použitých podkladů – předpisů, norem, literatury, výpočetních programů apod.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2250E2" w:rsidRDefault="002250E2">
      <w:pPr>
        <w:pStyle w:val="Obsah1"/>
        <w:rPr>
          <w:rFonts w:asciiTheme="minorHAnsi" w:eastAsiaTheme="minorEastAsia" w:hAnsiTheme="minorHAnsi" w:cstheme="minorBidi"/>
          <w:sz w:val="22"/>
          <w:lang w:eastAsia="cs-CZ"/>
        </w:rPr>
      </w:pPr>
      <w:hyperlink w:anchor="_Toc11239116" w:history="1">
        <w:r w:rsidRPr="007B7CE5">
          <w:rPr>
            <w:rStyle w:val="Hypertextovodkaz"/>
          </w:rPr>
          <w:t>12)</w:t>
        </w:r>
        <w:r>
          <w:rPr>
            <w:rFonts w:asciiTheme="minorHAnsi" w:eastAsiaTheme="minorEastAsia" w:hAnsiTheme="minorHAnsi" w:cstheme="minorBidi"/>
            <w:sz w:val="22"/>
            <w:lang w:eastAsia="cs-CZ"/>
          </w:rPr>
          <w:tab/>
        </w:r>
        <w:r w:rsidRPr="007B7CE5">
          <w:rPr>
            <w:rStyle w:val="Hypertextovodkaz"/>
          </w:rPr>
          <w:t>Požadavky na bezpečnost při provádění nosných konstrukcí – odkaz na příslušné předpisy a normy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_Toc11239116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3567CA" w:rsidRPr="00BA2F55" w:rsidRDefault="001D2065" w:rsidP="003567CA">
      <w:r>
        <w:fldChar w:fldCharType="end"/>
      </w:r>
    </w:p>
    <w:p w:rsidR="00321DA9" w:rsidRDefault="00321DA9">
      <w:pPr>
        <w:rPr>
          <w:b/>
          <w:kern w:val="28"/>
          <w:szCs w:val="20"/>
          <w:u w:val="single"/>
          <w:lang w:eastAsia="cs-CZ"/>
        </w:rPr>
      </w:pPr>
      <w:bookmarkStart w:id="0" w:name="_Toc503948646"/>
      <w:r>
        <w:br w:type="page"/>
      </w:r>
    </w:p>
    <w:p w:rsidR="003567CA" w:rsidRDefault="003567CA" w:rsidP="00463054">
      <w:pPr>
        <w:pStyle w:val="Nadpis1"/>
      </w:pPr>
      <w:bookmarkStart w:id="1" w:name="_Toc11239097"/>
      <w:r>
        <w:lastRenderedPageBreak/>
        <w:t>Podrobný popis navrženého systému stavby s rozlišením jednotlivých konstrukcí podle druhu, technologie a navržených materiálů</w:t>
      </w:r>
      <w:bookmarkEnd w:id="0"/>
      <w:bookmarkEnd w:id="1"/>
    </w:p>
    <w:p w:rsidR="00450056" w:rsidRPr="00783B14" w:rsidRDefault="00450056" w:rsidP="00450056">
      <w:r>
        <w:t>Konstrukce byla posuzována</w:t>
      </w:r>
      <w:r w:rsidRPr="00783B14">
        <w:t xml:space="preserve"> tak, aby odpovídala všem požadavkům Eurokódu 1, Eurokódu 2, Eurokódu 3, Eurokódu 5, Eurokódu 6 a Eurokódu 7. Konstrukce je navržena tak, aby umožňovala bezpečné, bezporuchové a trvalé užívání po dobu její životnosti. Ohled byl brán také na hospodárnost a snadnou montáž konstrukce.</w:t>
      </w:r>
    </w:p>
    <w:p w:rsidR="00450056" w:rsidRDefault="00450056" w:rsidP="00450056">
      <w:pPr>
        <w:rPr>
          <w:lang w:eastAsia="cs-CZ"/>
        </w:rPr>
      </w:pPr>
    </w:p>
    <w:p w:rsidR="00450056" w:rsidRDefault="00450056" w:rsidP="00450056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 xml:space="preserve">Statické posouzení se zabývá posouzením stavebních úprav veřejného parteru a zahrady objektů Husova 69 a 110-113 Kolín. </w:t>
      </w:r>
    </w:p>
    <w:p w:rsidR="00450056" w:rsidRDefault="00450056" w:rsidP="00450056">
      <w:pPr>
        <w:jc w:val="both"/>
        <w:rPr>
          <w:rFonts w:cs="Arial"/>
          <w:lang w:eastAsia="cs-CZ"/>
        </w:rPr>
      </w:pPr>
    </w:p>
    <w:p w:rsidR="007356AD" w:rsidRDefault="007356AD" w:rsidP="007356AD">
      <w:pPr>
        <w:jc w:val="both"/>
        <w:rPr>
          <w:rFonts w:cs="Arial"/>
          <w:u w:val="single"/>
          <w:lang w:eastAsia="cs-CZ"/>
        </w:rPr>
      </w:pPr>
      <w:bookmarkStart w:id="2" w:name="_Toc533145845"/>
      <w:bookmarkEnd w:id="2"/>
      <w:r w:rsidRPr="00F3135F">
        <w:rPr>
          <w:rFonts w:cs="Arial"/>
          <w:u w:val="single"/>
          <w:lang w:eastAsia="cs-CZ"/>
        </w:rPr>
        <w:t>Zahradní přístřešek knihovny</w:t>
      </w:r>
    </w:p>
    <w:p w:rsidR="007356AD" w:rsidRDefault="007356AD" w:rsidP="007356A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Je řešena dřevěná konstrukce zahradního přístřešku knihovny. Konstrukce je navržena jako dřevěná ze sloupků z profilů 80/140 a krokví 80/140. Statické schéma konstrukce je rám s vetknutými sloupy. Statické schéma bylo zvoleno z důvodu omezení vodorovných defo</w:t>
      </w:r>
      <w:r>
        <w:rPr>
          <w:rFonts w:cs="Arial"/>
          <w:lang w:eastAsia="cs-CZ"/>
        </w:rPr>
        <w:t>r</w:t>
      </w:r>
      <w:r>
        <w:rPr>
          <w:rFonts w:cs="Arial"/>
          <w:lang w:eastAsia="cs-CZ"/>
        </w:rPr>
        <w:t>mací od zatížení větrem. Podélné ztužení je zajištěno pomocí závitové tyče M16 v místě rámových rohů a ocelových táhel o průměru 10 mm. Tuhost konstrukce bude taktéž zajištěna tuhostí polykarbonátových prvků opláštění.</w:t>
      </w:r>
    </w:p>
    <w:p w:rsidR="007356AD" w:rsidRDefault="007356AD" w:rsidP="007356AD">
      <w:pPr>
        <w:jc w:val="both"/>
        <w:rPr>
          <w:rFonts w:cs="Arial"/>
          <w:u w:val="single"/>
          <w:lang w:eastAsia="cs-CZ"/>
        </w:rPr>
      </w:pPr>
    </w:p>
    <w:p w:rsidR="007356AD" w:rsidRDefault="007356AD" w:rsidP="007356AD">
      <w:pPr>
        <w:jc w:val="both"/>
        <w:rPr>
          <w:rFonts w:cs="Arial"/>
          <w:u w:val="single"/>
          <w:lang w:eastAsia="cs-CZ"/>
        </w:rPr>
      </w:pPr>
      <w:r w:rsidRPr="00F3135F">
        <w:rPr>
          <w:rFonts w:cs="Arial"/>
          <w:u w:val="single"/>
          <w:lang w:eastAsia="cs-CZ"/>
        </w:rPr>
        <w:t>Oplocení</w:t>
      </w:r>
    </w:p>
    <w:p w:rsidR="007356AD" w:rsidRDefault="007356AD" w:rsidP="007356A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Konstrukce plotu bude tvořena ocelovými jäckelovými profily 80x60x3 s osovou vzdáleností 600 mm. Osazeny budou</w:t>
      </w:r>
      <w:r w:rsidR="002250E2">
        <w:rPr>
          <w:rFonts w:cs="Arial"/>
          <w:lang w:eastAsia="cs-CZ"/>
        </w:rPr>
        <w:t xml:space="preserve"> systémové polykarbonátové prvky</w:t>
      </w:r>
      <w:r>
        <w:rPr>
          <w:rFonts w:cs="Arial"/>
          <w:lang w:eastAsia="cs-CZ"/>
        </w:rPr>
        <w:t>. Základ oplocení bude z prostého betonu šířky 300 mm a výšky 1000 mm a bude lícovat s konstrukcí opěrné stěny.</w:t>
      </w:r>
    </w:p>
    <w:p w:rsidR="007356AD" w:rsidRDefault="007356AD" w:rsidP="007356AD">
      <w:pPr>
        <w:jc w:val="both"/>
        <w:rPr>
          <w:rFonts w:cs="Arial"/>
          <w:lang w:eastAsia="cs-CZ"/>
        </w:rPr>
      </w:pPr>
      <w:bookmarkStart w:id="3" w:name="_GoBack"/>
      <w:bookmarkEnd w:id="3"/>
    </w:p>
    <w:p w:rsidR="007356AD" w:rsidRDefault="007356AD" w:rsidP="007356AD">
      <w:pPr>
        <w:jc w:val="both"/>
        <w:rPr>
          <w:rFonts w:cs="Arial"/>
          <w:u w:val="single"/>
          <w:lang w:eastAsia="cs-CZ"/>
        </w:rPr>
      </w:pPr>
      <w:r w:rsidRPr="00F3135F">
        <w:rPr>
          <w:rFonts w:cs="Arial"/>
          <w:u w:val="single"/>
          <w:lang w:eastAsia="cs-CZ"/>
        </w:rPr>
        <w:t>Opěrné stěny</w:t>
      </w:r>
    </w:p>
    <w:p w:rsidR="007356AD" w:rsidRDefault="007356AD" w:rsidP="007356AD">
      <w:pPr>
        <w:jc w:val="both"/>
        <w:rPr>
          <w:rFonts w:cs="Arial"/>
          <w:lang w:eastAsia="cs-CZ"/>
        </w:rPr>
      </w:pPr>
      <w:r>
        <w:rPr>
          <w:rFonts w:cs="Arial"/>
          <w:lang w:eastAsia="cs-CZ"/>
        </w:rPr>
        <w:t>Řešena je taktéž opěrná stěna ze ztraceného bednění. Stěna zajišťuje maximální převýšení 2580 mm mezi úrovněmi terénu a je tvořena prvky ztraceného bednění. V horní části o výšce 1250 mm + dobetonávka je stěna tvořena dílci o tloušťce 150 mm. Následně je stěna rozš</w:t>
      </w:r>
      <w:r>
        <w:rPr>
          <w:rFonts w:cs="Arial"/>
          <w:lang w:eastAsia="cs-CZ"/>
        </w:rPr>
        <w:t>í</w:t>
      </w:r>
      <w:r>
        <w:rPr>
          <w:rFonts w:cs="Arial"/>
          <w:lang w:eastAsia="cs-CZ"/>
        </w:rPr>
        <w:t>řena a tvořena ztraceným bedněním tloušťky 500 mm. Výpočtem byla zjištěna maximální hodnota rozdílu terénu, pro kterou vyhovuje ztracené bednění 150 mm, které je pak v mí</w:t>
      </w:r>
      <w:r>
        <w:rPr>
          <w:rFonts w:cs="Arial"/>
          <w:lang w:eastAsia="cs-CZ"/>
        </w:rPr>
        <w:t>s</w:t>
      </w:r>
      <w:r>
        <w:rPr>
          <w:rFonts w:cs="Arial"/>
          <w:lang w:eastAsia="cs-CZ"/>
        </w:rPr>
        <w:t xml:space="preserve">tech s nízkým rozdílem úrovní terénu navrženo. Spodní část je pak tvořena monolitickou železobetonovou částí propojenou s prvky ztraceného bednění betonářskou výztuží B500B. Úroveň základové </w:t>
      </w:r>
      <w:proofErr w:type="spellStart"/>
      <w:r>
        <w:rPr>
          <w:rFonts w:cs="Arial"/>
          <w:lang w:eastAsia="cs-CZ"/>
        </w:rPr>
        <w:t>základové</w:t>
      </w:r>
      <w:proofErr w:type="spellEnd"/>
      <w:r>
        <w:rPr>
          <w:rFonts w:cs="Arial"/>
          <w:lang w:eastAsia="cs-CZ"/>
        </w:rPr>
        <w:t xml:space="preserve"> spáry byla volena s ohledem na sítě (kanalizace, plyn). Stěnou prochází jak potrubí plynovodu, tak kanalizace, pro kterou je ve stěně navržen otvor prost</w:t>
      </w:r>
      <w:r>
        <w:rPr>
          <w:rFonts w:cs="Arial"/>
          <w:lang w:eastAsia="cs-CZ"/>
        </w:rPr>
        <w:t>u</w:t>
      </w:r>
      <w:r>
        <w:rPr>
          <w:rFonts w:cs="Arial"/>
          <w:lang w:eastAsia="cs-CZ"/>
        </w:rPr>
        <w:t>pu. Vzhledem k neznámé hloubce základů sloupů přilehlého objektu, bude napojení opěrné stěny řešeno při provádění po odkrytí základů (dle hloubky základové spáry). Podrobná g</w:t>
      </w:r>
      <w:r>
        <w:rPr>
          <w:rFonts w:cs="Arial"/>
          <w:lang w:eastAsia="cs-CZ"/>
        </w:rPr>
        <w:t>e</w:t>
      </w:r>
      <w:r>
        <w:rPr>
          <w:rFonts w:cs="Arial"/>
          <w:lang w:eastAsia="cs-CZ"/>
        </w:rPr>
        <w:t>ometrie viz příloha – statické posouzení opěrných zdí. Stěna bude dilatována po cca 6 m pomocí kluzných profilů. Dilatace budou zatmeleny. Stěny budou odvodněny pomocí dren</w:t>
      </w:r>
      <w:r>
        <w:rPr>
          <w:rFonts w:cs="Arial"/>
          <w:lang w:eastAsia="cs-CZ"/>
        </w:rPr>
        <w:t>á</w:t>
      </w:r>
      <w:r>
        <w:rPr>
          <w:rFonts w:cs="Arial"/>
          <w:lang w:eastAsia="cs-CZ"/>
        </w:rPr>
        <w:t>že.</w:t>
      </w:r>
    </w:p>
    <w:p w:rsidR="007356AD" w:rsidRDefault="007356AD" w:rsidP="007356AD">
      <w:pPr>
        <w:jc w:val="both"/>
        <w:rPr>
          <w:rFonts w:cs="Arial"/>
          <w:lang w:eastAsia="cs-CZ"/>
        </w:rPr>
      </w:pPr>
    </w:p>
    <w:p w:rsidR="007356AD" w:rsidRDefault="007356AD" w:rsidP="007356AD">
      <w:pPr>
        <w:rPr>
          <w:u w:val="single"/>
          <w:lang w:eastAsia="cs-CZ"/>
        </w:rPr>
      </w:pPr>
      <w:r w:rsidRPr="00AB508F">
        <w:rPr>
          <w:u w:val="single"/>
          <w:lang w:eastAsia="cs-CZ"/>
        </w:rPr>
        <w:t>Zastřešení přístřešku kontejnerů</w:t>
      </w:r>
    </w:p>
    <w:p w:rsidR="007356AD" w:rsidRPr="00AB508F" w:rsidRDefault="007356AD" w:rsidP="007356AD">
      <w:pPr>
        <w:rPr>
          <w:lang w:eastAsia="cs-CZ"/>
        </w:rPr>
      </w:pPr>
      <w:r>
        <w:rPr>
          <w:lang w:eastAsia="cs-CZ"/>
        </w:rPr>
        <w:t>Jako zastřešení je navržena ocelová střešní konstrukce z nosníků IPE 120 a jäckelových profilů vaznic 60x40x3. Střecha je tvořena pouze samotným vlnitým plechem TR40S/160/0,63. Statické posouzení viz příloha – zastřešení přístřešku kontejnerů.</w:t>
      </w:r>
    </w:p>
    <w:p w:rsidR="007356AD" w:rsidRDefault="007356AD" w:rsidP="007356AD">
      <w:pPr>
        <w:rPr>
          <w:lang w:eastAsia="cs-CZ"/>
        </w:rPr>
      </w:pPr>
    </w:p>
    <w:p w:rsidR="007356AD" w:rsidRDefault="007356AD" w:rsidP="007356AD">
      <w:pPr>
        <w:rPr>
          <w:u w:val="single"/>
          <w:lang w:eastAsia="cs-CZ"/>
        </w:rPr>
      </w:pPr>
      <w:r w:rsidRPr="00241F92">
        <w:rPr>
          <w:u w:val="single"/>
          <w:lang w:eastAsia="cs-CZ"/>
        </w:rPr>
        <w:t>Železobetonová schodiště</w:t>
      </w:r>
    </w:p>
    <w:p w:rsidR="007356AD" w:rsidRPr="00241F92" w:rsidRDefault="007356AD" w:rsidP="007356AD">
      <w:pPr>
        <w:rPr>
          <w:lang w:eastAsia="cs-CZ"/>
        </w:rPr>
      </w:pPr>
      <w:r>
        <w:rPr>
          <w:lang w:eastAsia="cs-CZ"/>
        </w:rPr>
        <w:t xml:space="preserve">Železobetonová schodiště budou vyztužena betonářskou sítí KARI </w:t>
      </w:r>
      <w:r>
        <w:rPr>
          <w:rFonts w:cs="Arial"/>
          <w:lang w:eastAsia="cs-CZ"/>
        </w:rPr>
        <w:t>Ø</w:t>
      </w:r>
      <w:r>
        <w:rPr>
          <w:lang w:eastAsia="cs-CZ"/>
        </w:rPr>
        <w:t>R8/150-</w:t>
      </w:r>
      <w:r w:rsidRPr="00241F92">
        <w:rPr>
          <w:rFonts w:cs="Arial"/>
          <w:lang w:eastAsia="cs-CZ"/>
        </w:rPr>
        <w:t xml:space="preserve"> </w:t>
      </w:r>
      <w:r>
        <w:rPr>
          <w:rFonts w:cs="Arial"/>
          <w:lang w:eastAsia="cs-CZ"/>
        </w:rPr>
        <w:t>Ø</w:t>
      </w:r>
      <w:r>
        <w:rPr>
          <w:lang w:eastAsia="cs-CZ"/>
        </w:rPr>
        <w:t>R8/150. V</w:t>
      </w:r>
      <w:r>
        <w:rPr>
          <w:lang w:eastAsia="cs-CZ"/>
        </w:rPr>
        <w:t>ý</w:t>
      </w:r>
      <w:r>
        <w:rPr>
          <w:lang w:eastAsia="cs-CZ"/>
        </w:rPr>
        <w:t>kresy tvaru a vyztužení jednotlivých schodišť viz výkresová část.</w:t>
      </w:r>
    </w:p>
    <w:p w:rsidR="009E294F" w:rsidRPr="00FC53E4" w:rsidRDefault="009E294F" w:rsidP="009E294F">
      <w:pPr>
        <w:pStyle w:val="Odstavecseseznamem"/>
        <w:keepNext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4" w:name="_Toc10618252"/>
      <w:bookmarkStart w:id="5" w:name="_Toc11239098"/>
      <w:bookmarkEnd w:id="4"/>
      <w:bookmarkEnd w:id="5"/>
    </w:p>
    <w:p w:rsidR="009E294F" w:rsidRPr="00FC53E4" w:rsidRDefault="009E294F" w:rsidP="009E294F">
      <w:pPr>
        <w:pStyle w:val="Odstavecseseznamem"/>
        <w:keepNext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6" w:name="_Toc525114168"/>
      <w:bookmarkStart w:id="7" w:name="_Toc533145846"/>
      <w:bookmarkStart w:id="8" w:name="_Toc10618253"/>
      <w:bookmarkStart w:id="9" w:name="_Toc11239099"/>
      <w:bookmarkEnd w:id="6"/>
      <w:bookmarkEnd w:id="7"/>
      <w:bookmarkEnd w:id="8"/>
      <w:bookmarkEnd w:id="9"/>
    </w:p>
    <w:p w:rsidR="009E294F" w:rsidRPr="00FC53E4" w:rsidRDefault="009E294F" w:rsidP="009E294F">
      <w:pPr>
        <w:pStyle w:val="Odstavecseseznamem"/>
        <w:keepNext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10" w:name="_Toc525114169"/>
      <w:bookmarkStart w:id="11" w:name="_Toc533145847"/>
      <w:bookmarkStart w:id="12" w:name="_Toc10618254"/>
      <w:bookmarkStart w:id="13" w:name="_Toc11239100"/>
      <w:bookmarkEnd w:id="10"/>
      <w:bookmarkEnd w:id="11"/>
      <w:bookmarkEnd w:id="12"/>
      <w:bookmarkEnd w:id="13"/>
    </w:p>
    <w:p w:rsidR="009E294F" w:rsidRPr="00FC53E4" w:rsidRDefault="009E294F" w:rsidP="009E294F">
      <w:pPr>
        <w:pStyle w:val="Odstavecseseznamem"/>
        <w:keepNext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14" w:name="_Toc525114170"/>
      <w:bookmarkStart w:id="15" w:name="_Toc533145848"/>
      <w:bookmarkStart w:id="16" w:name="_Toc10618255"/>
      <w:bookmarkStart w:id="17" w:name="_Toc11239101"/>
      <w:bookmarkEnd w:id="14"/>
      <w:bookmarkEnd w:id="15"/>
      <w:bookmarkEnd w:id="16"/>
      <w:bookmarkEnd w:id="17"/>
    </w:p>
    <w:p w:rsidR="009E294F" w:rsidRPr="00FC53E4" w:rsidRDefault="009E294F" w:rsidP="009E294F">
      <w:pPr>
        <w:pStyle w:val="Odstavecseseznamem"/>
        <w:keepNext/>
        <w:numPr>
          <w:ilvl w:val="0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18" w:name="_Toc525114171"/>
      <w:bookmarkStart w:id="19" w:name="_Toc533145849"/>
      <w:bookmarkStart w:id="20" w:name="_Toc10618256"/>
      <w:bookmarkStart w:id="21" w:name="_Toc11239102"/>
      <w:bookmarkEnd w:id="18"/>
      <w:bookmarkEnd w:id="19"/>
      <w:bookmarkEnd w:id="20"/>
      <w:bookmarkEnd w:id="21"/>
    </w:p>
    <w:p w:rsidR="009E294F" w:rsidRPr="00FC53E4" w:rsidRDefault="009E294F" w:rsidP="009E294F">
      <w:pPr>
        <w:pStyle w:val="Odstavecseseznamem"/>
        <w:keepNext/>
        <w:numPr>
          <w:ilvl w:val="1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22" w:name="_Toc525114172"/>
      <w:bookmarkStart w:id="23" w:name="_Toc533145850"/>
      <w:bookmarkStart w:id="24" w:name="_Toc10618257"/>
      <w:bookmarkStart w:id="25" w:name="_Toc11239103"/>
      <w:bookmarkEnd w:id="22"/>
      <w:bookmarkEnd w:id="23"/>
      <w:bookmarkEnd w:id="24"/>
      <w:bookmarkEnd w:id="25"/>
    </w:p>
    <w:p w:rsidR="009E294F" w:rsidRPr="00FC53E4" w:rsidRDefault="009E294F" w:rsidP="009E294F">
      <w:pPr>
        <w:pStyle w:val="Odstavecseseznamem"/>
        <w:keepNext/>
        <w:numPr>
          <w:ilvl w:val="1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26" w:name="_Toc525114173"/>
      <w:bookmarkStart w:id="27" w:name="_Toc533145851"/>
      <w:bookmarkStart w:id="28" w:name="_Toc10618258"/>
      <w:bookmarkStart w:id="29" w:name="_Toc11239104"/>
      <w:bookmarkEnd w:id="26"/>
      <w:bookmarkEnd w:id="27"/>
      <w:bookmarkEnd w:id="28"/>
      <w:bookmarkEnd w:id="29"/>
    </w:p>
    <w:p w:rsidR="009E294F" w:rsidRPr="00FC53E4" w:rsidRDefault="009E294F" w:rsidP="009E294F">
      <w:pPr>
        <w:pStyle w:val="Odstavecseseznamem"/>
        <w:keepNext/>
        <w:numPr>
          <w:ilvl w:val="1"/>
          <w:numId w:val="37"/>
        </w:num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contextualSpacing w:val="0"/>
        <w:jc w:val="both"/>
        <w:outlineLvl w:val="2"/>
        <w:rPr>
          <w:rFonts w:cs="Arial"/>
          <w:b/>
          <w:bCs/>
          <w:vanish/>
          <w:lang w:eastAsia="cs-CZ"/>
        </w:rPr>
      </w:pPr>
      <w:bookmarkStart w:id="30" w:name="_Toc525114174"/>
      <w:bookmarkStart w:id="31" w:name="_Toc533145852"/>
      <w:bookmarkStart w:id="32" w:name="_Toc10618259"/>
      <w:bookmarkStart w:id="33" w:name="_Toc11239105"/>
      <w:bookmarkEnd w:id="30"/>
      <w:bookmarkEnd w:id="31"/>
      <w:bookmarkEnd w:id="32"/>
      <w:bookmarkEnd w:id="33"/>
    </w:p>
    <w:p w:rsidR="003567CA" w:rsidRDefault="003567CA" w:rsidP="00463054">
      <w:pPr>
        <w:keepNext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9072"/>
        </w:tabs>
        <w:autoSpaceDE w:val="0"/>
        <w:autoSpaceDN w:val="0"/>
        <w:spacing w:after="100"/>
        <w:jc w:val="both"/>
        <w:outlineLvl w:val="2"/>
        <w:rPr>
          <w:lang w:eastAsia="cs-CZ"/>
        </w:rPr>
      </w:pPr>
    </w:p>
    <w:p w:rsidR="003567CA" w:rsidRDefault="003567CA" w:rsidP="003567CA">
      <w:pPr>
        <w:rPr>
          <w:lang w:eastAsia="cs-CZ"/>
        </w:rPr>
      </w:pPr>
    </w:p>
    <w:p w:rsidR="003567CA" w:rsidRDefault="003567CA" w:rsidP="00463054">
      <w:pPr>
        <w:pStyle w:val="Nadpis1"/>
      </w:pPr>
      <w:bookmarkStart w:id="34" w:name="_Toc503948647"/>
      <w:bookmarkStart w:id="35" w:name="_Toc11239106"/>
      <w:r>
        <w:lastRenderedPageBreak/>
        <w:t>Definitní průřezové rozměry jednotlivých konstrukčních prvků případně odkaz na výkresovou dokumentaci</w:t>
      </w:r>
      <w:bookmarkEnd w:id="34"/>
      <w:bookmarkEnd w:id="35"/>
    </w:p>
    <w:p w:rsidR="003567CA" w:rsidRDefault="003567CA" w:rsidP="003567CA">
      <w:pPr>
        <w:rPr>
          <w:lang w:eastAsia="cs-CZ"/>
        </w:rPr>
      </w:pPr>
      <w:r>
        <w:rPr>
          <w:lang w:eastAsia="cs-CZ"/>
        </w:rPr>
        <w:t>Rozměry prvků viz výkresová část D12c</w:t>
      </w:r>
      <w:r w:rsidR="00530A02">
        <w:rPr>
          <w:lang w:eastAsia="cs-CZ"/>
        </w:rPr>
        <w:t>.</w:t>
      </w:r>
    </w:p>
    <w:p w:rsidR="00321DA9" w:rsidRDefault="00321DA9" w:rsidP="003567CA">
      <w:pPr>
        <w:rPr>
          <w:lang w:eastAsia="cs-CZ"/>
        </w:rPr>
      </w:pPr>
    </w:p>
    <w:p w:rsidR="00321DA9" w:rsidRDefault="00321DA9" w:rsidP="003567CA">
      <w:pPr>
        <w:rPr>
          <w:lang w:eastAsia="cs-CZ"/>
        </w:rPr>
      </w:pPr>
    </w:p>
    <w:p w:rsidR="003567CA" w:rsidRDefault="003567CA" w:rsidP="00463054">
      <w:pPr>
        <w:pStyle w:val="Nadpis1"/>
      </w:pPr>
      <w:bookmarkStart w:id="36" w:name="_Toc503948648"/>
      <w:bookmarkStart w:id="37" w:name="_Toc11239107"/>
      <w:r>
        <w:t>Údaje o uvažovaných zatíženích ve statickém výpočtu – stálá, užitná, klimatická, od ant</w:t>
      </w:r>
      <w:r w:rsidR="001F7817">
        <w:t xml:space="preserve">énních soustav, </w:t>
      </w:r>
      <w:r>
        <w:t>mimořádná apod.</w:t>
      </w:r>
      <w:bookmarkEnd w:id="36"/>
      <w:bookmarkEnd w:id="37"/>
    </w:p>
    <w:p w:rsidR="003E476C" w:rsidRPr="00031612" w:rsidRDefault="003E476C" w:rsidP="003E476C">
      <w:r w:rsidRPr="00031612">
        <w:t>Dle ČSN EN 1991-1-1 Eurokód 1 je uvažováno s těmito zatíženími na konstrukce:</w:t>
      </w:r>
    </w:p>
    <w:p w:rsidR="003E476C" w:rsidRPr="00031612" w:rsidRDefault="003E476C" w:rsidP="003E476C">
      <w:pPr>
        <w:pStyle w:val="Odstavecseseznamem"/>
        <w:numPr>
          <w:ilvl w:val="0"/>
          <w:numId w:val="36"/>
        </w:numPr>
        <w:autoSpaceDE w:val="0"/>
        <w:autoSpaceDN w:val="0"/>
      </w:pPr>
      <w:r w:rsidRPr="00031612">
        <w:t>vlastní tíha konstrukcí</w:t>
      </w:r>
    </w:p>
    <w:p w:rsidR="003E476C" w:rsidRPr="00031612" w:rsidRDefault="003E476C" w:rsidP="003E476C">
      <w:pPr>
        <w:pStyle w:val="Odstavecseseznamem"/>
        <w:numPr>
          <w:ilvl w:val="0"/>
          <w:numId w:val="36"/>
        </w:numPr>
        <w:autoSpaceDE w:val="0"/>
        <w:autoSpaceDN w:val="0"/>
      </w:pPr>
      <w:r w:rsidRPr="00031612">
        <w:t>stálé zatížení</w:t>
      </w:r>
    </w:p>
    <w:p w:rsidR="003E476C" w:rsidRPr="00031612" w:rsidRDefault="003E476C" w:rsidP="003E476C">
      <w:pPr>
        <w:pStyle w:val="Odstavecseseznamem"/>
        <w:numPr>
          <w:ilvl w:val="0"/>
          <w:numId w:val="36"/>
        </w:numPr>
        <w:autoSpaceDE w:val="0"/>
        <w:autoSpaceDN w:val="0"/>
      </w:pPr>
      <w:r>
        <w:t>proměnné</w:t>
      </w:r>
      <w:r w:rsidRPr="00031612">
        <w:t xml:space="preserve"> zatížení</w:t>
      </w:r>
    </w:p>
    <w:p w:rsidR="003E476C" w:rsidRPr="009000AA" w:rsidRDefault="003E476C" w:rsidP="003E476C">
      <w:pPr>
        <w:pStyle w:val="Odstavecseseznamem"/>
        <w:numPr>
          <w:ilvl w:val="0"/>
          <w:numId w:val="36"/>
        </w:numPr>
        <w:autoSpaceDE w:val="0"/>
        <w:autoSpaceDN w:val="0"/>
      </w:pPr>
      <w:r w:rsidRPr="00031612">
        <w:t xml:space="preserve">zatížení sněhem – I. sněhová oblast – </w:t>
      </w:r>
      <w:r w:rsidRPr="009000AA">
        <w:t>ČSN EN 1991-1-3 Eurokód 1: Zatížení ko</w:t>
      </w:r>
      <w:r w:rsidRPr="009000AA">
        <w:t>n</w:t>
      </w:r>
      <w:r w:rsidRPr="009000AA">
        <w:t>strukcí</w:t>
      </w:r>
      <w:r>
        <w:t xml:space="preserve">. Část 1-3 </w:t>
      </w:r>
      <w:r w:rsidRPr="009000AA">
        <w:t xml:space="preserve">Obecná zatížení – Zatížení sněhem </w:t>
      </w:r>
    </w:p>
    <w:p w:rsidR="003E476C" w:rsidRPr="00031612" w:rsidRDefault="003E476C" w:rsidP="003E476C">
      <w:pPr>
        <w:pStyle w:val="Odstavecseseznamem"/>
        <w:numPr>
          <w:ilvl w:val="0"/>
          <w:numId w:val="36"/>
        </w:numPr>
        <w:autoSpaceDE w:val="0"/>
        <w:autoSpaceDN w:val="0"/>
      </w:pPr>
      <w:r w:rsidRPr="00031612">
        <w:t xml:space="preserve">zatížení větrem – II. větrová oblast – </w:t>
      </w:r>
      <w:r>
        <w:t>ČSN EN 1991-1-4</w:t>
      </w:r>
      <w:r w:rsidRPr="009000AA">
        <w:t xml:space="preserve"> Eurokód 1: Zatížení ko</w:t>
      </w:r>
      <w:r w:rsidRPr="009000AA">
        <w:t>n</w:t>
      </w:r>
      <w:r w:rsidRPr="009000AA">
        <w:t>strukcí</w:t>
      </w:r>
      <w:r>
        <w:t xml:space="preserve">. Část 1-4 </w:t>
      </w:r>
      <w:r w:rsidRPr="009000AA">
        <w:t>O</w:t>
      </w:r>
      <w:r>
        <w:t>becná zatížení – Zatížení větrem</w:t>
      </w:r>
      <w:r w:rsidRPr="009000AA">
        <w:t xml:space="preserve"> </w:t>
      </w:r>
    </w:p>
    <w:p w:rsidR="003E476C" w:rsidRPr="00031612" w:rsidRDefault="003E476C" w:rsidP="003E476C"/>
    <w:p w:rsidR="003E476C" w:rsidRPr="00031612" w:rsidRDefault="003E476C" w:rsidP="003E476C">
      <w:r>
        <w:t>O</w:t>
      </w:r>
      <w:r w:rsidRPr="00031612">
        <w:t>bjekt se nenachází v námrazové oblasti</w:t>
      </w:r>
      <w:r>
        <w:t>.</w:t>
      </w:r>
    </w:p>
    <w:p w:rsidR="003E476C" w:rsidRPr="00031612" w:rsidRDefault="003E476C" w:rsidP="003E476C">
      <w:r>
        <w:t>O</w:t>
      </w:r>
      <w:r w:rsidRPr="00031612">
        <w:t>bjekt se nenachází v poddolovaném území</w:t>
      </w:r>
      <w:r>
        <w:t>.</w:t>
      </w:r>
    </w:p>
    <w:p w:rsidR="003E476C" w:rsidRPr="00031612" w:rsidRDefault="003E476C" w:rsidP="003E476C">
      <w:r>
        <w:t>O</w:t>
      </w:r>
      <w:r w:rsidRPr="00031612">
        <w:t>bjekt se nenachází v zemětřesné oblasti</w:t>
      </w:r>
      <w:r>
        <w:t>.</w:t>
      </w:r>
    </w:p>
    <w:p w:rsidR="003E476C" w:rsidRDefault="003E476C" w:rsidP="003E476C"/>
    <w:p w:rsidR="003E476C" w:rsidRDefault="003E476C" w:rsidP="003E476C">
      <w:r>
        <w:t>Všechna uvedená zatížení jsou blíže specifikována ve statickém výpočtu.</w:t>
      </w:r>
    </w:p>
    <w:p w:rsidR="003567CA" w:rsidRDefault="003567CA" w:rsidP="003567CA">
      <w:pPr>
        <w:rPr>
          <w:lang w:eastAsia="cs-CZ"/>
        </w:rPr>
      </w:pPr>
    </w:p>
    <w:p w:rsidR="003E476C" w:rsidRDefault="003E476C" w:rsidP="003567CA">
      <w:pPr>
        <w:rPr>
          <w:lang w:eastAsia="cs-CZ"/>
        </w:rPr>
      </w:pPr>
    </w:p>
    <w:p w:rsidR="003567CA" w:rsidRDefault="003567CA" w:rsidP="00463054">
      <w:pPr>
        <w:pStyle w:val="Nadpis1"/>
      </w:pPr>
      <w:bookmarkStart w:id="38" w:name="_Toc503948649"/>
      <w:bookmarkStart w:id="39" w:name="_Toc11239108"/>
      <w:r>
        <w:t>Údaje o požadované jakosti navržených materiálů</w:t>
      </w:r>
      <w:bookmarkEnd w:id="38"/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125"/>
      </w:tblGrid>
      <w:tr w:rsidR="008A3F2D" w:rsidTr="006274EF">
        <w:trPr>
          <w:trHeight w:val="4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rPr>
                <w:rFonts w:cs="Arial"/>
                <w:b/>
              </w:rPr>
            </w:pPr>
            <w:bookmarkStart w:id="40" w:name="_Toc503948650"/>
            <w:r w:rsidRPr="00D66831">
              <w:rPr>
                <w:rFonts w:cs="Arial"/>
                <w:b/>
              </w:rPr>
              <w:t>Materiál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rPr>
                <w:rFonts w:cs="Arial"/>
                <w:b/>
              </w:rPr>
            </w:pPr>
            <w:r w:rsidRPr="00D66831">
              <w:rPr>
                <w:rFonts w:cs="Arial"/>
                <w:b/>
              </w:rPr>
              <w:t>Kvalita materiálu</w:t>
            </w:r>
          </w:p>
        </w:tc>
      </w:tr>
      <w:tr w:rsidR="008A3F2D" w:rsidTr="006274EF">
        <w:trPr>
          <w:trHeight w:val="45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 xml:space="preserve">Beton – základy 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C 25/30 </w:t>
            </w:r>
            <w:r>
              <w:t>XC2</w:t>
            </w:r>
            <w:r w:rsidR="00450056">
              <w:t>,XA1</w:t>
            </w:r>
            <w:r>
              <w:sym w:font="Symbol" w:char="F02D"/>
            </w:r>
            <w:r>
              <w:t>Cl 0,2</w:t>
            </w:r>
            <w:r>
              <w:sym w:font="Symbol" w:char="F02D"/>
            </w:r>
            <w:r>
              <w:t>D</w:t>
            </w:r>
            <w:r w:rsidRPr="00541ADB">
              <w:rPr>
                <w:vertAlign w:val="subscript"/>
              </w:rPr>
              <w:t>max</w:t>
            </w:r>
            <w:r>
              <w:t>22</w:t>
            </w:r>
            <w:r>
              <w:sym w:font="Symbol" w:char="F02D"/>
            </w:r>
            <w:r>
              <w:t>S3 dle ČSN EN 206+A1</w:t>
            </w:r>
          </w:p>
        </w:tc>
      </w:tr>
      <w:tr w:rsidR="008A3F2D" w:rsidRPr="000F791F" w:rsidTr="006274EF">
        <w:trPr>
          <w:trHeight w:val="45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>Beton - podkladní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Pr="000F791F" w:rsidRDefault="008A3F2D" w:rsidP="006274EF">
            <w:r>
              <w:t>C 12/15 X0</w:t>
            </w:r>
            <w:r>
              <w:sym w:font="Symbol" w:char="F02D"/>
            </w:r>
            <w:r>
              <w:t>Cl 0,1</w:t>
            </w:r>
            <w:r>
              <w:sym w:font="Symbol" w:char="F02D"/>
            </w:r>
            <w:r>
              <w:t>D</w:t>
            </w:r>
            <w:r w:rsidRPr="00541ADB">
              <w:rPr>
                <w:vertAlign w:val="subscript"/>
              </w:rPr>
              <w:t>max</w:t>
            </w:r>
            <w:r>
              <w:t>22</w:t>
            </w:r>
            <w:r>
              <w:sym w:font="Symbol" w:char="F02D"/>
            </w:r>
            <w:r>
              <w:t>S3  dle ČSN EN 206+A1</w:t>
            </w:r>
          </w:p>
        </w:tc>
      </w:tr>
      <w:tr w:rsidR="008A3F2D" w:rsidTr="006274EF">
        <w:trPr>
          <w:trHeight w:val="6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Betonářská výztuž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r>
              <w:t>B500B (10505.9 (R)) dle ČSN EN 10027-1</w:t>
            </w:r>
          </w:p>
          <w:p w:rsidR="008A3F2D" w:rsidRDefault="008A3F2D" w:rsidP="006274EF">
            <w:r>
              <w:t>Svařované sítě KARI (SZ)</w:t>
            </w:r>
          </w:p>
        </w:tc>
      </w:tr>
    </w:tbl>
    <w:p w:rsidR="008A3F2D" w:rsidRDefault="008A3F2D" w:rsidP="008A3F2D">
      <w:pPr>
        <w:rPr>
          <w:rFonts w:cs="Arial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117"/>
      </w:tblGrid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rPr>
                <w:rFonts w:eastAsia="Arial Unicode MS" w:cs="Arial"/>
                <w:b/>
                <w:szCs w:val="20"/>
              </w:rPr>
            </w:pPr>
            <w:r w:rsidRPr="00D66831">
              <w:rPr>
                <w:rFonts w:eastAsia="Arial Unicode MS" w:cs="Arial"/>
                <w:b/>
                <w:szCs w:val="20"/>
              </w:rPr>
              <w:t>Materiál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autoSpaceDE w:val="0"/>
              <w:autoSpaceDN w:val="0"/>
              <w:rPr>
                <w:rFonts w:cs="Arial"/>
                <w:b/>
                <w:sz w:val="20"/>
                <w:szCs w:val="20"/>
              </w:rPr>
            </w:pPr>
            <w:r w:rsidRPr="00D66831">
              <w:rPr>
                <w:rFonts w:cs="Arial"/>
                <w:b/>
                <w:sz w:val="20"/>
                <w:szCs w:val="20"/>
              </w:rPr>
              <w:t>Kvalita materiálu</w:t>
            </w:r>
          </w:p>
        </w:tc>
      </w:tr>
      <w:tr w:rsidR="008A3F2D" w:rsidTr="006274EF">
        <w:trPr>
          <w:trHeight w:val="124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Dřevo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Pr="00BA0447" w:rsidRDefault="008A3F2D" w:rsidP="006274EF">
            <w:pPr>
              <w:autoSpaceDE w:val="0"/>
              <w:autoSpaceDN w:val="0"/>
              <w:rPr>
                <w:rFonts w:cs="Arial"/>
                <w:szCs w:val="20"/>
              </w:rPr>
            </w:pPr>
            <w:r w:rsidRPr="00BA0447">
              <w:rPr>
                <w:rFonts w:cs="Arial"/>
                <w:szCs w:val="20"/>
              </w:rPr>
              <w:t>Pevnostní třída - C24</w:t>
            </w:r>
          </w:p>
          <w:p w:rsidR="008A3F2D" w:rsidRPr="00BA0447" w:rsidRDefault="008A3F2D" w:rsidP="006274EF">
            <w:pPr>
              <w:autoSpaceDE w:val="0"/>
              <w:autoSpaceDN w:val="0"/>
              <w:rPr>
                <w:rFonts w:cs="Arial"/>
                <w:szCs w:val="20"/>
              </w:rPr>
            </w:pPr>
            <w:r w:rsidRPr="00BA0447">
              <w:rPr>
                <w:rFonts w:cs="Arial"/>
                <w:szCs w:val="20"/>
              </w:rPr>
              <w:t>Vizuální třída - S10</w:t>
            </w:r>
          </w:p>
          <w:p w:rsidR="008A3F2D" w:rsidRPr="00BA0447" w:rsidRDefault="008A3F2D" w:rsidP="006274EF">
            <w:pPr>
              <w:autoSpaceDE w:val="0"/>
              <w:autoSpaceDN w:val="0"/>
              <w:rPr>
                <w:rFonts w:cs="Arial"/>
                <w:szCs w:val="20"/>
              </w:rPr>
            </w:pPr>
            <w:r w:rsidRPr="00BA0447">
              <w:rPr>
                <w:rFonts w:cs="Arial"/>
                <w:szCs w:val="20"/>
              </w:rPr>
              <w:t xml:space="preserve">Třída provozu – </w:t>
            </w:r>
            <w:r>
              <w:rPr>
                <w:rFonts w:cs="Arial"/>
                <w:szCs w:val="20"/>
              </w:rPr>
              <w:t>2</w:t>
            </w:r>
          </w:p>
          <w:p w:rsidR="008A3F2D" w:rsidRDefault="008A3F2D" w:rsidP="006274EF">
            <w:pPr>
              <w:autoSpaceDE w:val="0"/>
              <w:autoSpaceDN w:val="0"/>
              <w:rPr>
                <w:rFonts w:cs="Arial"/>
                <w:sz w:val="20"/>
                <w:szCs w:val="20"/>
              </w:rPr>
            </w:pPr>
            <w:r w:rsidRPr="00BA0447">
              <w:rPr>
                <w:rFonts w:cs="Arial"/>
                <w:szCs w:val="20"/>
              </w:rPr>
              <w:t>Povrchová úprava: fungicidní a insekticidní nátěr</w:t>
            </w:r>
          </w:p>
        </w:tc>
      </w:tr>
    </w:tbl>
    <w:p w:rsidR="008A3F2D" w:rsidRDefault="008A3F2D" w:rsidP="008A3F2D">
      <w:pPr>
        <w:rPr>
          <w:rFonts w:cs="Arial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117"/>
      </w:tblGrid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rPr>
                <w:rFonts w:eastAsia="Arial Unicode MS" w:cs="Arial"/>
                <w:b/>
                <w:szCs w:val="20"/>
              </w:rPr>
            </w:pPr>
            <w:r w:rsidRPr="00D66831">
              <w:rPr>
                <w:rFonts w:eastAsia="Arial Unicode MS" w:cs="Arial"/>
                <w:b/>
                <w:szCs w:val="20"/>
              </w:rPr>
              <w:t>Materiál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3F2D" w:rsidRPr="00D66831" w:rsidRDefault="008A3F2D" w:rsidP="006274EF">
            <w:pPr>
              <w:autoSpaceDE w:val="0"/>
              <w:autoSpaceDN w:val="0"/>
              <w:rPr>
                <w:rFonts w:cs="Arial"/>
                <w:b/>
                <w:sz w:val="20"/>
                <w:szCs w:val="20"/>
              </w:rPr>
            </w:pPr>
            <w:r w:rsidRPr="00D66831">
              <w:rPr>
                <w:rFonts w:cs="Arial"/>
                <w:b/>
                <w:sz w:val="20"/>
                <w:szCs w:val="20"/>
              </w:rPr>
              <w:t>Kvalita materiálu</w:t>
            </w:r>
          </w:p>
        </w:tc>
      </w:tr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Ocel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S235JR (1.0038) dle EN 10025-2</w:t>
            </w:r>
          </w:p>
        </w:tc>
      </w:tr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Jäckelové profily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eastAsia="Arial Unicode MS"/>
              </w:rPr>
              <w:t>S235JRH (1.0039) dle EN 10219-1</w:t>
            </w:r>
          </w:p>
        </w:tc>
      </w:tr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>Trapézové plechy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cs="Arial"/>
              </w:rPr>
              <w:t>S320GD+Z275 nebo S320GD+ZA255 dle ČSN EN 10346</w:t>
            </w:r>
          </w:p>
        </w:tc>
      </w:tr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>Třída provedení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EXC 2 dle ČSN EN 1090-2</w:t>
            </w:r>
          </w:p>
        </w:tc>
      </w:tr>
      <w:tr w:rsidR="008A3F2D" w:rsidTr="006274EF">
        <w:trPr>
          <w:trHeight w:val="45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Svary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Jakost C dle ČSN EN ISO 5817</w:t>
            </w:r>
          </w:p>
        </w:tc>
      </w:tr>
      <w:tr w:rsidR="008A3F2D" w:rsidTr="006274EF">
        <w:trPr>
          <w:trHeight w:val="73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>Šrouby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F2D" w:rsidRDefault="008A3F2D" w:rsidP="006274EF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Pevnostní třída 8.8</w:t>
            </w:r>
          </w:p>
          <w:p w:rsidR="008A3F2D" w:rsidRPr="009C0BF1" w:rsidRDefault="008A3F2D" w:rsidP="006274EF">
            <w:pPr>
              <w:rPr>
                <w:rFonts w:eastAsia="Arial Unicode MS"/>
                <w:b/>
              </w:rPr>
            </w:pPr>
            <w:r>
              <w:rPr>
                <w:rFonts w:eastAsia="Arial Unicode MS"/>
              </w:rPr>
              <w:t>kategorie šroubového spoje A, D</w:t>
            </w:r>
          </w:p>
        </w:tc>
      </w:tr>
      <w:tr w:rsidR="008A3F2D" w:rsidTr="006274EF">
        <w:trPr>
          <w:trHeight w:val="199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rFonts w:cs="Arial"/>
              </w:rPr>
            </w:pPr>
            <w:r>
              <w:rPr>
                <w:rFonts w:cs="Arial"/>
              </w:rPr>
              <w:t>Zinkování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F2D" w:rsidRDefault="008A3F2D" w:rsidP="00627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odmaštění vhodným detergentem, očištění</w:t>
            </w:r>
          </w:p>
          <w:p w:rsidR="008A3F2D" w:rsidRDefault="008A3F2D" w:rsidP="00627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otryskání</w:t>
            </w:r>
            <w:proofErr w:type="spellEnd"/>
            <w:r>
              <w:rPr>
                <w:sz w:val="20"/>
                <w:szCs w:val="20"/>
              </w:rPr>
              <w:t xml:space="preserve"> konstrukce na SA 2,5 dle ČSN EN ISO 8501-1</w:t>
            </w:r>
          </w:p>
          <w:p w:rsidR="008A3F2D" w:rsidRDefault="008A3F2D" w:rsidP="00627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žárově pozinkováno ponorem dle ČSN EN ISO 1461</w:t>
            </w:r>
          </w:p>
          <w:p w:rsidR="008A3F2D" w:rsidRPr="006005B8" w:rsidRDefault="008A3F2D" w:rsidP="00627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minimální tloušťka zinkového povlaku 85 </w:t>
            </w:r>
            <w:proofErr w:type="spellStart"/>
            <w:r w:rsidRPr="001142F8">
              <w:rPr>
                <w:rFonts w:cs="Arial"/>
                <w:sz w:val="20"/>
                <w:szCs w:val="20"/>
              </w:rPr>
              <w:t>μm</w:t>
            </w:r>
            <w:proofErr w:type="spellEnd"/>
          </w:p>
          <w:p w:rsidR="008A3F2D" w:rsidRDefault="008A3F2D" w:rsidP="006274EF">
            <w:pPr>
              <w:rPr>
                <w:rFonts w:eastAsia="Arial Unicode MS"/>
                <w:sz w:val="20"/>
                <w:szCs w:val="20"/>
              </w:rPr>
            </w:pPr>
            <w:r w:rsidRPr="001142F8">
              <w:rPr>
                <w:rFonts w:eastAsia="Arial Unicode MS"/>
                <w:b/>
                <w:sz w:val="20"/>
                <w:szCs w:val="20"/>
              </w:rPr>
              <w:t>Vnější prostředí</w:t>
            </w:r>
            <w:r>
              <w:rPr>
                <w:rFonts w:eastAsia="Arial Unicode MS"/>
                <w:sz w:val="20"/>
                <w:szCs w:val="20"/>
              </w:rPr>
              <w:t>:</w:t>
            </w:r>
          </w:p>
          <w:p w:rsidR="008A3F2D" w:rsidRDefault="008A3F2D" w:rsidP="006274EF">
            <w:pPr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Stupeň korozní agresivity prostředí dle ČSN EN ISO 14713-1: </w:t>
            </w:r>
            <w:r>
              <w:rPr>
                <w:rFonts w:eastAsia="Arial Unicode MS"/>
                <w:b/>
                <w:sz w:val="20"/>
                <w:szCs w:val="20"/>
              </w:rPr>
              <w:t>C4 (vysoká</w:t>
            </w:r>
            <w:r w:rsidRPr="00C941B8">
              <w:rPr>
                <w:rFonts w:eastAsia="Arial Unicode MS"/>
                <w:b/>
                <w:sz w:val="20"/>
                <w:szCs w:val="20"/>
              </w:rPr>
              <w:t>)</w:t>
            </w:r>
          </w:p>
          <w:p w:rsidR="008A3F2D" w:rsidRDefault="008A3F2D" w:rsidP="006274EF">
            <w:pPr>
              <w:rPr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  <w:t xml:space="preserve">Životnost ochrany konstrukce zinkovým povlakem se předpokládá dle ČSN EN ISO 14713-1 (tabulka 2): </w:t>
            </w:r>
            <w:r>
              <w:rPr>
                <w:rFonts w:eastAsia="Arial Unicode MS"/>
                <w:b/>
                <w:sz w:val="20"/>
                <w:szCs w:val="20"/>
              </w:rPr>
              <w:t>Velmi dlouhá (VH</w:t>
            </w:r>
            <w:r w:rsidRPr="00181763">
              <w:rPr>
                <w:rFonts w:eastAsia="Arial Unicode MS"/>
                <w:b/>
                <w:sz w:val="20"/>
                <w:szCs w:val="20"/>
              </w:rPr>
              <w:t>)</w:t>
            </w:r>
            <w:r>
              <w:rPr>
                <w:rFonts w:eastAsia="Arial Unicode MS"/>
                <w:sz w:val="20"/>
                <w:szCs w:val="20"/>
              </w:rPr>
              <w:t xml:space="preserve"> – 20 až 40 let</w:t>
            </w:r>
          </w:p>
        </w:tc>
      </w:tr>
    </w:tbl>
    <w:p w:rsidR="005C09C0" w:rsidRDefault="005C09C0" w:rsidP="005C09C0"/>
    <w:p w:rsidR="0055024A" w:rsidRDefault="0055024A" w:rsidP="005C09C0"/>
    <w:p w:rsidR="003567CA" w:rsidRDefault="003567CA" w:rsidP="00463054">
      <w:pPr>
        <w:pStyle w:val="Nadpis1"/>
      </w:pPr>
      <w:bookmarkStart w:id="41" w:name="_Toc11239109"/>
      <w:r>
        <w:t>Popis netradičních technologických postupů a zvláštních požadavků na provádění a jakost navržených konstrukcí</w:t>
      </w:r>
      <w:bookmarkEnd w:id="40"/>
      <w:bookmarkEnd w:id="41"/>
    </w:p>
    <w:p w:rsidR="003567CA" w:rsidRDefault="003567CA" w:rsidP="003567CA">
      <w:pPr>
        <w:rPr>
          <w:lang w:eastAsia="cs-CZ"/>
        </w:rPr>
      </w:pPr>
      <w:r>
        <w:rPr>
          <w:lang w:eastAsia="cs-CZ"/>
        </w:rPr>
        <w:t>Žádné zvláštní požadavky.</w:t>
      </w:r>
    </w:p>
    <w:p w:rsidR="003567CA" w:rsidRDefault="003567CA" w:rsidP="003567CA">
      <w:pPr>
        <w:rPr>
          <w:lang w:eastAsia="cs-CZ"/>
        </w:rPr>
      </w:pPr>
    </w:p>
    <w:p w:rsidR="003567CA" w:rsidRDefault="003567CA" w:rsidP="003567CA"/>
    <w:p w:rsidR="003567CA" w:rsidRDefault="003567CA" w:rsidP="00463054">
      <w:pPr>
        <w:pStyle w:val="Nadpis1"/>
      </w:pPr>
      <w:bookmarkStart w:id="42" w:name="_Toc503948651"/>
      <w:bookmarkStart w:id="43" w:name="_Toc11239110"/>
      <w:r>
        <w:t>Zajištění stavební jámy</w:t>
      </w:r>
      <w:bookmarkEnd w:id="42"/>
      <w:bookmarkEnd w:id="43"/>
    </w:p>
    <w:p w:rsidR="003949C9" w:rsidRPr="00A95864" w:rsidRDefault="003949C9" w:rsidP="003949C9">
      <w:pPr>
        <w:rPr>
          <w:rFonts w:cs="Arial"/>
          <w:lang w:eastAsia="cs-CZ"/>
        </w:rPr>
      </w:pPr>
      <w:r w:rsidRPr="00A95864">
        <w:t>Výkopy pro základové konstrukce budou provedeny ja</w:t>
      </w:r>
      <w:r w:rsidR="00016642">
        <w:t>ko otevřený svahovaný výkop</w:t>
      </w:r>
      <w:r w:rsidRPr="00A95864">
        <w:rPr>
          <w:rFonts w:cs="Arial"/>
          <w:lang w:eastAsia="cs-CZ"/>
        </w:rPr>
        <w:t>.</w:t>
      </w:r>
      <w:r w:rsidR="008A3F2D">
        <w:rPr>
          <w:rFonts w:cs="Arial"/>
          <w:lang w:eastAsia="cs-CZ"/>
        </w:rPr>
        <w:t xml:space="preserve"> Svah</w:t>
      </w:r>
      <w:r w:rsidR="008A3F2D">
        <w:rPr>
          <w:rFonts w:cs="Arial"/>
          <w:lang w:eastAsia="cs-CZ"/>
        </w:rPr>
        <w:t>o</w:t>
      </w:r>
      <w:r w:rsidR="008A3F2D">
        <w:rPr>
          <w:rFonts w:cs="Arial"/>
          <w:lang w:eastAsia="cs-CZ"/>
        </w:rPr>
        <w:t xml:space="preserve">vání bude provedeno se sklonem pro dočasné výkopy 1:1,75. </w:t>
      </w:r>
    </w:p>
    <w:p w:rsidR="003567CA" w:rsidRDefault="003567CA" w:rsidP="003567CA"/>
    <w:p w:rsidR="003567CA" w:rsidRDefault="003567CA" w:rsidP="003567CA"/>
    <w:p w:rsidR="003567CA" w:rsidRDefault="003567CA" w:rsidP="00463054">
      <w:pPr>
        <w:pStyle w:val="Nadpis1"/>
      </w:pPr>
      <w:bookmarkStart w:id="44" w:name="_Toc503948652"/>
      <w:bookmarkStart w:id="45" w:name="_Toc11239111"/>
      <w:r>
        <w:t>Stanovení požadovaných kontrol zakrývaných konstrukcí a případných kontro</w:t>
      </w:r>
      <w:r>
        <w:t>l</w:t>
      </w:r>
      <w:r>
        <w:t>ních měření a zkoušek, pokud jsou požadovány nad rámec povinných - stanov</w:t>
      </w:r>
      <w:r>
        <w:t>e</w:t>
      </w:r>
      <w:r>
        <w:t>ných příslušnými technologickými předpisy a normami</w:t>
      </w:r>
      <w:bookmarkEnd w:id="44"/>
      <w:bookmarkEnd w:id="45"/>
      <w:r>
        <w:t xml:space="preserve"> </w:t>
      </w:r>
    </w:p>
    <w:p w:rsidR="00F76368" w:rsidRDefault="00F76368" w:rsidP="00016642">
      <w:pPr>
        <w:pStyle w:val="Styl1"/>
        <w:jc w:val="left"/>
      </w:pPr>
      <w:r w:rsidRPr="00A95864">
        <w:t>Nosné základové betonové konstrukce budou provedeny dle ČSN EN 13670 Provádění b</w:t>
      </w:r>
      <w:r w:rsidRPr="00A95864">
        <w:t>e</w:t>
      </w:r>
      <w:r w:rsidRPr="00A95864">
        <w:t xml:space="preserve">tonových konstrukcí. </w:t>
      </w:r>
    </w:p>
    <w:p w:rsidR="008613F8" w:rsidRPr="00A95864" w:rsidRDefault="008613F8" w:rsidP="00016642">
      <w:pPr>
        <w:pStyle w:val="Styl1"/>
        <w:jc w:val="left"/>
      </w:pPr>
    </w:p>
    <w:p w:rsidR="008613F8" w:rsidRPr="00F6372E" w:rsidRDefault="008613F8" w:rsidP="00016642">
      <w:pPr>
        <w:rPr>
          <w:rFonts w:cs="Arial"/>
        </w:rPr>
      </w:pPr>
      <w:r w:rsidRPr="00F6372E">
        <w:rPr>
          <w:rFonts w:cs="Arial"/>
        </w:rPr>
        <w:t>Před betonáží bude provedena přejímka vyztužení železobetonových prvků a o převzetí b</w:t>
      </w:r>
      <w:r w:rsidRPr="00F6372E">
        <w:rPr>
          <w:rFonts w:cs="Arial"/>
        </w:rPr>
        <w:t>u</w:t>
      </w:r>
      <w:r w:rsidRPr="00F6372E">
        <w:rPr>
          <w:rFonts w:cs="Arial"/>
        </w:rPr>
        <w:t>de učiněn zápis do stavebního deníku.</w:t>
      </w:r>
    </w:p>
    <w:p w:rsidR="003567CA" w:rsidRDefault="003567CA" w:rsidP="00016642"/>
    <w:p w:rsidR="008613F8" w:rsidRDefault="008613F8" w:rsidP="00016642">
      <w:pPr>
        <w:rPr>
          <w:rFonts w:cs="Arial"/>
        </w:rPr>
      </w:pPr>
      <w:r w:rsidRPr="00F9570F">
        <w:rPr>
          <w:rFonts w:cs="Arial"/>
        </w:rPr>
        <w:t>Ocelov</w:t>
      </w:r>
      <w:r>
        <w:rPr>
          <w:rFonts w:cs="Arial"/>
        </w:rPr>
        <w:t>é</w:t>
      </w:r>
      <w:r w:rsidRPr="00F9570F">
        <w:rPr>
          <w:rFonts w:cs="Arial"/>
        </w:rPr>
        <w:t xml:space="preserve"> konstrukce budou provedeny dle ČSN EN 1090-2+A1 Prov</w:t>
      </w:r>
      <w:r>
        <w:rPr>
          <w:rFonts w:cs="Arial"/>
        </w:rPr>
        <w:t>á</w:t>
      </w:r>
      <w:r w:rsidRPr="00F9570F">
        <w:rPr>
          <w:rFonts w:cs="Arial"/>
        </w:rPr>
        <w:t>děn</w:t>
      </w:r>
      <w:r>
        <w:rPr>
          <w:rFonts w:cs="Arial"/>
        </w:rPr>
        <w:t>í</w:t>
      </w:r>
      <w:r w:rsidRPr="00F9570F">
        <w:rPr>
          <w:rFonts w:cs="Arial"/>
        </w:rPr>
        <w:t xml:space="preserve"> ocelov</w:t>
      </w:r>
      <w:r>
        <w:rPr>
          <w:rFonts w:cs="Arial"/>
        </w:rPr>
        <w:t>ý</w:t>
      </w:r>
      <w:r w:rsidRPr="00F9570F">
        <w:rPr>
          <w:rFonts w:cs="Arial"/>
        </w:rPr>
        <w:t>ch</w:t>
      </w:r>
      <w:r>
        <w:rPr>
          <w:rFonts w:cs="Arial"/>
        </w:rPr>
        <w:t xml:space="preserve"> </w:t>
      </w:r>
      <w:r w:rsidRPr="00F9570F">
        <w:rPr>
          <w:rFonts w:cs="Arial"/>
        </w:rPr>
        <w:t>ko</w:t>
      </w:r>
      <w:r w:rsidRPr="00F9570F">
        <w:rPr>
          <w:rFonts w:cs="Arial"/>
        </w:rPr>
        <w:t>n</w:t>
      </w:r>
      <w:r w:rsidRPr="00F9570F">
        <w:rPr>
          <w:rFonts w:cs="Arial"/>
        </w:rPr>
        <w:t>strukc</w:t>
      </w:r>
      <w:r>
        <w:rPr>
          <w:rFonts w:cs="Arial"/>
        </w:rPr>
        <w:t>í</w:t>
      </w:r>
      <w:r w:rsidRPr="00F9570F">
        <w:rPr>
          <w:rFonts w:cs="Arial"/>
        </w:rPr>
        <w:t xml:space="preserve"> a hlin</w:t>
      </w:r>
      <w:r>
        <w:rPr>
          <w:rFonts w:cs="Arial"/>
        </w:rPr>
        <w:t>í</w:t>
      </w:r>
      <w:r w:rsidRPr="00F9570F">
        <w:rPr>
          <w:rFonts w:cs="Arial"/>
        </w:rPr>
        <w:t>kov</w:t>
      </w:r>
      <w:r>
        <w:rPr>
          <w:rFonts w:cs="Arial"/>
        </w:rPr>
        <w:t>ý</w:t>
      </w:r>
      <w:r w:rsidRPr="00F9570F">
        <w:rPr>
          <w:rFonts w:cs="Arial"/>
        </w:rPr>
        <w:t>ch konstrukci - Č</w:t>
      </w:r>
      <w:r>
        <w:rPr>
          <w:rFonts w:cs="Arial"/>
        </w:rPr>
        <w:t>á</w:t>
      </w:r>
      <w:r w:rsidRPr="00F9570F">
        <w:rPr>
          <w:rFonts w:cs="Arial"/>
        </w:rPr>
        <w:t>st 2: Technick</w:t>
      </w:r>
      <w:r>
        <w:rPr>
          <w:rFonts w:cs="Arial"/>
        </w:rPr>
        <w:t>é</w:t>
      </w:r>
      <w:r w:rsidRPr="00F9570F">
        <w:rPr>
          <w:rFonts w:cs="Arial"/>
        </w:rPr>
        <w:t xml:space="preserve"> požadavky na ocelov</w:t>
      </w:r>
      <w:r>
        <w:rPr>
          <w:rFonts w:cs="Arial"/>
        </w:rPr>
        <w:t>é</w:t>
      </w:r>
      <w:r w:rsidRPr="00F9570F">
        <w:rPr>
          <w:rFonts w:cs="Arial"/>
        </w:rPr>
        <w:t xml:space="preserve"> konstrukce.</w:t>
      </w:r>
    </w:p>
    <w:p w:rsidR="008613F8" w:rsidRDefault="008613F8" w:rsidP="00016642"/>
    <w:p w:rsidR="00BC1320" w:rsidRDefault="00016642" w:rsidP="00016642">
      <w:pPr>
        <w:rPr>
          <w:rFonts w:cs="Arial"/>
        </w:rPr>
      </w:pPr>
      <w:r>
        <w:t xml:space="preserve">Dřevěné konstrukce budou provedeny dle </w:t>
      </w:r>
      <w:r w:rsidRPr="00016642">
        <w:t xml:space="preserve">ČSN EN </w:t>
      </w:r>
      <w:r w:rsidRPr="00016642">
        <w:rPr>
          <w:rFonts w:cs="Arial"/>
        </w:rPr>
        <w:t>ČSN 73 2810</w:t>
      </w:r>
      <w:r w:rsidRPr="00016642">
        <w:rPr>
          <w:rFonts w:cs="Arial"/>
        </w:rPr>
        <w:tab/>
      </w:r>
      <w:r>
        <w:rPr>
          <w:rFonts w:cs="Arial"/>
        </w:rPr>
        <w:t>Dřevěné konstrukce, pr</w:t>
      </w:r>
      <w:r>
        <w:rPr>
          <w:rFonts w:cs="Arial"/>
        </w:rPr>
        <w:t>o</w:t>
      </w:r>
      <w:r>
        <w:rPr>
          <w:rFonts w:cs="Arial"/>
        </w:rPr>
        <w:t>vádění.</w:t>
      </w:r>
    </w:p>
    <w:p w:rsidR="00016642" w:rsidRDefault="00016642" w:rsidP="00016642">
      <w:pPr>
        <w:jc w:val="both"/>
        <w:rPr>
          <w:rFonts w:cs="Arial"/>
        </w:rPr>
      </w:pPr>
    </w:p>
    <w:p w:rsidR="00016642" w:rsidRDefault="00016642" w:rsidP="00016642">
      <w:pPr>
        <w:jc w:val="both"/>
      </w:pPr>
    </w:p>
    <w:p w:rsidR="003567CA" w:rsidRDefault="003567CA" w:rsidP="00463054">
      <w:pPr>
        <w:pStyle w:val="Nadpis1"/>
      </w:pPr>
      <w:bookmarkStart w:id="46" w:name="_Toc503948653"/>
      <w:bookmarkStart w:id="47" w:name="_Toc11239112"/>
      <w:r>
        <w:t>V případě změn stávající stavby – popis konstrukce, jejího současného stavu, technologický postup s upozorněním na nutná opatření k zachování stability a únosností vlastní konstrukce, případně bezprostředně souvisejících objektů</w:t>
      </w:r>
      <w:bookmarkEnd w:id="46"/>
      <w:bookmarkEnd w:id="47"/>
    </w:p>
    <w:p w:rsidR="003567CA" w:rsidRDefault="008A3F2D" w:rsidP="003567CA">
      <w:r>
        <w:t>Demolice stávající opěrné stěny bude provedena postupně směrem od shora dolu. Zároveň s postupem bourání bude svahován výkop. Následně bude provedena nová opěrná stěna.</w:t>
      </w:r>
    </w:p>
    <w:p w:rsidR="00450056" w:rsidRDefault="00450056" w:rsidP="003567CA"/>
    <w:p w:rsidR="00450056" w:rsidRDefault="00450056" w:rsidP="003567CA">
      <w:r>
        <w:lastRenderedPageBreak/>
        <w:t>Při provádění budou okryty základové patky stávajících sloupů objektu u nových opěrných stěn. Způsob napojení bude navržen při provádění v závislosti na hloubce základových ko</w:t>
      </w:r>
      <w:r>
        <w:t>n</w:t>
      </w:r>
      <w:r>
        <w:t>strukcí, která není známa.</w:t>
      </w:r>
    </w:p>
    <w:p w:rsidR="003567CA" w:rsidRDefault="003567CA" w:rsidP="003567CA"/>
    <w:p w:rsidR="003567CA" w:rsidRDefault="003567CA" w:rsidP="003567CA"/>
    <w:p w:rsidR="00A34C74" w:rsidRDefault="003567CA" w:rsidP="00463054">
      <w:pPr>
        <w:pStyle w:val="Nadpis1"/>
      </w:pPr>
      <w:bookmarkStart w:id="48" w:name="_Toc503948654"/>
      <w:bookmarkStart w:id="49" w:name="_Toc11239113"/>
      <w:r>
        <w:t>Požadavky na vypracování dokumentace zajišťované zhotovitelem – obsah a ro</w:t>
      </w:r>
      <w:r>
        <w:t>z</w:t>
      </w:r>
      <w:r>
        <w:t>sah, upozornění na hodnoty minimální únosnosti, které musí konstrukce splňovat</w:t>
      </w:r>
      <w:bookmarkEnd w:id="48"/>
      <w:bookmarkEnd w:id="49"/>
    </w:p>
    <w:p w:rsidR="00A34C74" w:rsidRDefault="00A34C74" w:rsidP="00A34C74">
      <w:pPr>
        <w:pStyle w:val="Styl1"/>
      </w:pPr>
      <w:r w:rsidRPr="00537B41">
        <w:t xml:space="preserve">Dodavatel stavby zpracuje </w:t>
      </w:r>
      <w:r>
        <w:t>dílenské výkresy</w:t>
      </w:r>
      <w:r w:rsidRPr="00537B41">
        <w:t xml:space="preserve"> a předloží generálnímu projektantovi k odsouhlasení.</w:t>
      </w:r>
      <w:r w:rsidR="00F527F2">
        <w:t xml:space="preserve"> </w:t>
      </w:r>
    </w:p>
    <w:p w:rsidR="00450056" w:rsidRDefault="00450056" w:rsidP="00A34C74">
      <w:pPr>
        <w:pStyle w:val="Styl1"/>
      </w:pPr>
    </w:p>
    <w:p w:rsidR="00450056" w:rsidRPr="004A03DD" w:rsidRDefault="00450056" w:rsidP="00A34C74">
      <w:pPr>
        <w:pStyle w:val="Styl1"/>
      </w:pPr>
    </w:p>
    <w:p w:rsidR="003567CA" w:rsidRDefault="003567CA" w:rsidP="00463054">
      <w:pPr>
        <w:pStyle w:val="Nadpis1"/>
      </w:pPr>
      <w:bookmarkStart w:id="50" w:name="_Toc503948655"/>
      <w:bookmarkStart w:id="51" w:name="_Toc11239114"/>
      <w:r>
        <w:t>Požadavky na požární ochranu konstrukcí</w:t>
      </w:r>
      <w:bookmarkEnd w:id="50"/>
      <w:bookmarkEnd w:id="51"/>
    </w:p>
    <w:p w:rsidR="00F76368" w:rsidRPr="00A95864" w:rsidRDefault="008A3F2D" w:rsidP="00F76368">
      <w:pPr>
        <w:pStyle w:val="Zkladntext2"/>
        <w:rPr>
          <w:color w:val="auto"/>
        </w:rPr>
      </w:pPr>
      <w:r>
        <w:rPr>
          <w:color w:val="auto"/>
        </w:rPr>
        <w:t>Nejsou.</w:t>
      </w:r>
    </w:p>
    <w:p w:rsidR="003567CA" w:rsidRDefault="003567CA" w:rsidP="003567CA">
      <w:pPr>
        <w:rPr>
          <w:lang w:eastAsia="cs-CZ"/>
        </w:rPr>
      </w:pPr>
    </w:p>
    <w:p w:rsidR="005C09C0" w:rsidRDefault="005C09C0" w:rsidP="003567CA">
      <w:pPr>
        <w:rPr>
          <w:lang w:eastAsia="cs-CZ"/>
        </w:rPr>
      </w:pPr>
    </w:p>
    <w:p w:rsidR="003567CA" w:rsidRDefault="003567CA" w:rsidP="00463054">
      <w:pPr>
        <w:pStyle w:val="Nadpis1"/>
      </w:pPr>
      <w:bookmarkStart w:id="52" w:name="_Toc503948656"/>
      <w:bookmarkStart w:id="53" w:name="_Toc11239115"/>
      <w:r>
        <w:t>Seznam použitých podkladů – předpisů, norem, literatury, výpočetních programů apod.</w:t>
      </w:r>
      <w:bookmarkEnd w:id="52"/>
      <w:bookmarkEnd w:id="53"/>
    </w:p>
    <w:p w:rsidR="00016642" w:rsidRPr="00225188" w:rsidRDefault="00016642" w:rsidP="00016642">
      <w:pPr>
        <w:rPr>
          <w:b/>
          <w:u w:val="single"/>
        </w:rPr>
      </w:pPr>
      <w:bookmarkStart w:id="54" w:name="_Toc455005438"/>
      <w:bookmarkStart w:id="55" w:name="_Toc496680503"/>
      <w:r w:rsidRPr="00225188">
        <w:rPr>
          <w:b/>
          <w:u w:val="single"/>
        </w:rPr>
        <w:t>Normy, literatura</w:t>
      </w:r>
      <w:bookmarkEnd w:id="54"/>
      <w:bookmarkEnd w:id="55"/>
    </w:p>
    <w:p w:rsidR="00016642" w:rsidRDefault="00016642" w:rsidP="00016642">
      <w:pPr>
        <w:ind w:left="3402"/>
        <w:jc w:val="both"/>
        <w:rPr>
          <w:rFonts w:cs="Arial"/>
          <w:sz w:val="18"/>
          <w:szCs w:val="18"/>
          <w:lang w:eastAsia="cs-CZ"/>
        </w:rPr>
      </w:pPr>
    </w:p>
    <w:p w:rsidR="00016642" w:rsidRPr="00482E7F" w:rsidRDefault="00016642" w:rsidP="00016642">
      <w:pPr>
        <w:numPr>
          <w:ilvl w:val="0"/>
          <w:numId w:val="33"/>
        </w:numPr>
        <w:tabs>
          <w:tab w:val="clear" w:pos="720"/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>
        <w:rPr>
          <w:rFonts w:cs="Arial"/>
          <w:sz w:val="20"/>
          <w:szCs w:val="18"/>
          <w:lang w:eastAsia="cs-CZ"/>
        </w:rPr>
        <w:t>ČSN EN 1990</w:t>
      </w:r>
      <w:r w:rsidRPr="00482E7F">
        <w:rPr>
          <w:rFonts w:cs="Arial"/>
          <w:sz w:val="20"/>
          <w:szCs w:val="18"/>
          <w:lang w:eastAsia="cs-CZ"/>
        </w:rPr>
        <w:tab/>
        <w:t>Eurokód: Zásady navrhování konstrukcí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1991-1-1</w:t>
      </w:r>
      <w:r w:rsidRPr="00482E7F">
        <w:rPr>
          <w:rFonts w:cs="Arial"/>
          <w:sz w:val="20"/>
          <w:szCs w:val="18"/>
          <w:lang w:eastAsia="cs-CZ"/>
        </w:rPr>
        <w:tab/>
        <w:t>Eurokód 1: Zatížení konstrukcí - Část 1-1: Obecná zatížení - Objemové tíhy, vlastní tíha a užitná zatížení pozemních staveb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1991-1-3</w:t>
      </w:r>
      <w:r w:rsidRPr="00482E7F">
        <w:rPr>
          <w:rFonts w:cs="Arial"/>
          <w:sz w:val="20"/>
          <w:szCs w:val="18"/>
          <w:lang w:eastAsia="cs-CZ"/>
        </w:rPr>
        <w:tab/>
        <w:t>Eurokód 1: Zatížení konstrukcí - Část 1-3: Obecná zatížení - Zatížení sněhem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 xml:space="preserve">ČSN EN 1991-1-4 </w:t>
      </w:r>
      <w:r w:rsidRPr="00482E7F">
        <w:rPr>
          <w:rFonts w:cs="Arial"/>
          <w:sz w:val="20"/>
          <w:szCs w:val="18"/>
          <w:lang w:eastAsia="cs-CZ"/>
        </w:rPr>
        <w:tab/>
        <w:t>Eurokód 1: Zatížení konstrukcí - Část 1-4: Obecná zatížení - Zatížení větrem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1992-1-1</w:t>
      </w:r>
      <w:r w:rsidRPr="00482E7F">
        <w:rPr>
          <w:rFonts w:cs="Arial"/>
          <w:sz w:val="20"/>
          <w:szCs w:val="18"/>
          <w:lang w:eastAsia="cs-CZ"/>
        </w:rPr>
        <w:tab/>
        <w:t>Eurokód 2: Navrhování betonových konstrukcí - Část 1-1: Obecná pravidla a pravidla pro pozemní stavby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1993-1-1</w:t>
      </w:r>
      <w:r w:rsidRPr="00482E7F">
        <w:rPr>
          <w:rFonts w:cs="Arial"/>
          <w:sz w:val="20"/>
          <w:szCs w:val="18"/>
          <w:lang w:eastAsia="cs-CZ"/>
        </w:rPr>
        <w:tab/>
        <w:t>Eurokód 3: Navrhování ocelových konstrukcí - Část 1-1: Obe</w:t>
      </w:r>
      <w:r w:rsidRPr="00482E7F">
        <w:rPr>
          <w:rFonts w:cs="Arial"/>
          <w:sz w:val="20"/>
          <w:szCs w:val="18"/>
          <w:lang w:eastAsia="cs-CZ"/>
        </w:rPr>
        <w:t>c</w:t>
      </w:r>
      <w:r w:rsidRPr="00482E7F">
        <w:rPr>
          <w:rFonts w:cs="Arial"/>
          <w:sz w:val="20"/>
          <w:szCs w:val="18"/>
          <w:lang w:eastAsia="cs-CZ"/>
        </w:rPr>
        <w:t>ná pravidla a pravidla pro pozemní stavby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1995-1-1</w:t>
      </w:r>
      <w:r w:rsidRPr="00482E7F">
        <w:rPr>
          <w:rFonts w:cs="Arial"/>
          <w:sz w:val="20"/>
          <w:szCs w:val="18"/>
          <w:lang w:eastAsia="cs-CZ"/>
        </w:rPr>
        <w:tab/>
        <w:t>Eurokód 5: Navrhování dřevěných konstrukcí - Část 1-1: Obe</w:t>
      </w:r>
      <w:r w:rsidRPr="00482E7F">
        <w:rPr>
          <w:rFonts w:cs="Arial"/>
          <w:sz w:val="20"/>
          <w:szCs w:val="18"/>
          <w:lang w:eastAsia="cs-CZ"/>
        </w:rPr>
        <w:t>c</w:t>
      </w:r>
      <w:r w:rsidRPr="00482E7F">
        <w:rPr>
          <w:rFonts w:cs="Arial"/>
          <w:sz w:val="20"/>
          <w:szCs w:val="18"/>
          <w:lang w:eastAsia="cs-CZ"/>
        </w:rPr>
        <w:t>ná pravidla - Společná pravidla a pravidla pro pozemní stavby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</w:t>
      </w:r>
      <w:r>
        <w:rPr>
          <w:rFonts w:cs="Arial"/>
          <w:sz w:val="20"/>
          <w:szCs w:val="18"/>
          <w:lang w:eastAsia="cs-CZ"/>
        </w:rPr>
        <w:t>SN EN 1996-1-1+A</w:t>
      </w:r>
      <w:r w:rsidRPr="00482E7F">
        <w:rPr>
          <w:rFonts w:cs="Arial"/>
          <w:sz w:val="20"/>
          <w:szCs w:val="18"/>
          <w:lang w:eastAsia="cs-CZ"/>
        </w:rPr>
        <w:t>1</w:t>
      </w:r>
      <w:r w:rsidRPr="00482E7F">
        <w:rPr>
          <w:rFonts w:cs="Arial"/>
          <w:sz w:val="20"/>
          <w:szCs w:val="18"/>
          <w:lang w:eastAsia="cs-CZ"/>
        </w:rPr>
        <w:tab/>
        <w:t>Eurokód 6: Navrhování zděných konstrukcí - Část 1-1: Obecná pravidla pro vyztužené a nevyztužené zděné konstrukce</w:t>
      </w:r>
    </w:p>
    <w:p w:rsidR="00016642" w:rsidRPr="00482E7F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482E7F">
        <w:rPr>
          <w:rFonts w:cs="Arial"/>
          <w:sz w:val="20"/>
          <w:szCs w:val="18"/>
          <w:lang w:eastAsia="cs-CZ"/>
        </w:rPr>
        <w:t>ČSN EN 1997-1</w:t>
      </w:r>
      <w:r w:rsidRPr="00482E7F">
        <w:rPr>
          <w:rFonts w:cs="Arial"/>
          <w:sz w:val="20"/>
          <w:szCs w:val="18"/>
          <w:lang w:eastAsia="cs-CZ"/>
        </w:rPr>
        <w:tab/>
        <w:t>Eurokód 7: Navrhování geotechnických konstrukcí - Část 1: Obecná pravidla</w:t>
      </w:r>
      <w:r>
        <w:rPr>
          <w:rFonts w:cs="Arial"/>
          <w:sz w:val="20"/>
          <w:szCs w:val="18"/>
          <w:lang w:eastAsia="cs-CZ"/>
        </w:rPr>
        <w:t xml:space="preserve"> + </w:t>
      </w:r>
      <w:proofErr w:type="spellStart"/>
      <w:r>
        <w:rPr>
          <w:rFonts w:cs="Arial"/>
          <w:sz w:val="20"/>
          <w:szCs w:val="18"/>
          <w:lang w:eastAsia="cs-CZ"/>
        </w:rPr>
        <w:t>opr</w:t>
      </w:r>
      <w:proofErr w:type="spellEnd"/>
      <w:r>
        <w:rPr>
          <w:rFonts w:cs="Arial"/>
          <w:sz w:val="20"/>
          <w:szCs w:val="18"/>
          <w:lang w:eastAsia="cs-CZ"/>
        </w:rPr>
        <w:t>. 1</w:t>
      </w:r>
    </w:p>
    <w:p w:rsidR="00016642" w:rsidRPr="009A2D61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rFonts w:cs="Arial"/>
          <w:sz w:val="20"/>
          <w:szCs w:val="20"/>
          <w:lang w:eastAsia="cs-CZ"/>
        </w:rPr>
        <w:t>ČSN EN 1998-1</w:t>
      </w:r>
      <w:r w:rsidRPr="009A2D61">
        <w:rPr>
          <w:rFonts w:cs="Arial"/>
          <w:sz w:val="20"/>
          <w:szCs w:val="20"/>
          <w:lang w:eastAsia="cs-CZ"/>
        </w:rPr>
        <w:tab/>
      </w:r>
      <w:r w:rsidRPr="009A2D61">
        <w:rPr>
          <w:sz w:val="20"/>
          <w:szCs w:val="20"/>
          <w:lang w:eastAsia="cs-CZ"/>
        </w:rPr>
        <w:t>Eurokódu 8: Navrhování konstrukcí odolných proti zemětřesení - Část 1: Obecná pravidla, seizmická zatížení a pravidla pro p</w:t>
      </w:r>
      <w:r w:rsidRPr="009A2D61">
        <w:rPr>
          <w:sz w:val="20"/>
          <w:szCs w:val="20"/>
          <w:lang w:eastAsia="cs-CZ"/>
        </w:rPr>
        <w:t>o</w:t>
      </w:r>
      <w:r w:rsidRPr="009A2D61">
        <w:rPr>
          <w:sz w:val="20"/>
          <w:szCs w:val="20"/>
          <w:lang w:eastAsia="cs-CZ"/>
        </w:rPr>
        <w:t>zemní stavby</w:t>
      </w:r>
    </w:p>
    <w:p w:rsidR="00016642" w:rsidRPr="00E00C6E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18"/>
          <w:szCs w:val="20"/>
          <w:lang w:eastAsia="cs-CZ"/>
        </w:rPr>
      </w:pPr>
      <w:r w:rsidRPr="00E00C6E">
        <w:rPr>
          <w:sz w:val="20"/>
          <w:lang w:eastAsia="cs-CZ"/>
        </w:rPr>
        <w:t>ČSN ISO 12494:2010/04</w:t>
      </w:r>
      <w:r w:rsidRPr="00E00C6E">
        <w:rPr>
          <w:sz w:val="20"/>
          <w:lang w:eastAsia="cs-CZ"/>
        </w:rPr>
        <w:tab/>
        <w:t>Zatížení konstrukcí námrazou</w:t>
      </w:r>
    </w:p>
    <w:p w:rsidR="00016642" w:rsidRPr="009A2D61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rFonts w:cs="Arial"/>
          <w:sz w:val="20"/>
          <w:szCs w:val="20"/>
          <w:lang w:eastAsia="cs-CZ"/>
        </w:rPr>
        <w:t>ČSN EN 338</w:t>
      </w:r>
      <w:r>
        <w:rPr>
          <w:rFonts w:cs="Arial"/>
          <w:sz w:val="20"/>
          <w:szCs w:val="20"/>
          <w:lang w:eastAsia="cs-CZ"/>
        </w:rPr>
        <w:t>:2016/11</w:t>
      </w:r>
      <w:r w:rsidRPr="009A2D61">
        <w:rPr>
          <w:rFonts w:cs="Arial"/>
          <w:sz w:val="20"/>
          <w:szCs w:val="20"/>
          <w:lang w:eastAsia="cs-CZ"/>
        </w:rPr>
        <w:tab/>
        <w:t>Konstrukční dřevo - Třídy pevnosti</w:t>
      </w:r>
    </w:p>
    <w:p w:rsidR="00016642" w:rsidRPr="009A2D61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rFonts w:cs="Arial"/>
          <w:sz w:val="20"/>
          <w:szCs w:val="20"/>
          <w:lang w:eastAsia="cs-CZ"/>
        </w:rPr>
        <w:t>ČSN EN 14081-1</w:t>
      </w:r>
      <w:r w:rsidRPr="009A2D61">
        <w:rPr>
          <w:rFonts w:cs="Arial"/>
          <w:sz w:val="20"/>
          <w:szCs w:val="20"/>
          <w:lang w:eastAsia="cs-CZ"/>
        </w:rPr>
        <w:tab/>
        <w:t>Dřevěné konstrukce - Konstrukční dřevo obdélníkového průřezu tříděné podle pevnosti - Část 1: Obecné požadavky</w:t>
      </w:r>
    </w:p>
    <w:p w:rsidR="00016642" w:rsidRPr="009A2D61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sz w:val="20"/>
          <w:szCs w:val="20"/>
        </w:rPr>
        <w:t>ČSN EN 13670</w:t>
      </w:r>
      <w:r w:rsidRPr="009A2D61">
        <w:rPr>
          <w:sz w:val="20"/>
          <w:szCs w:val="20"/>
        </w:rPr>
        <w:tab/>
        <w:t>Provádění betonových konstrukcí</w:t>
      </w:r>
    </w:p>
    <w:p w:rsidR="00016642" w:rsidRPr="009A2D61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rFonts w:cs="Arial"/>
          <w:sz w:val="20"/>
          <w:szCs w:val="20"/>
        </w:rPr>
        <w:t>ČSN EN 1090-2+A1</w:t>
      </w:r>
      <w:r w:rsidRPr="009A2D61">
        <w:rPr>
          <w:rFonts w:cs="Arial"/>
          <w:sz w:val="20"/>
          <w:szCs w:val="20"/>
        </w:rPr>
        <w:tab/>
        <w:t>Provádění ocelových konstrukcí a hliníkových konstrukci - Část 2: Technické požadavky na ocelové konstrukce</w:t>
      </w:r>
    </w:p>
    <w:p w:rsidR="00016642" w:rsidRDefault="00016642" w:rsidP="0001664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20"/>
          <w:lang w:eastAsia="cs-CZ"/>
        </w:rPr>
      </w:pPr>
      <w:r w:rsidRPr="009A2D61">
        <w:rPr>
          <w:rFonts w:cs="Arial"/>
          <w:sz w:val="20"/>
          <w:szCs w:val="20"/>
        </w:rPr>
        <w:t>ČSN 73 2810</w:t>
      </w:r>
      <w:r w:rsidRPr="009A2D61">
        <w:rPr>
          <w:rFonts w:cs="Arial"/>
          <w:sz w:val="20"/>
          <w:szCs w:val="20"/>
        </w:rPr>
        <w:tab/>
        <w:t>Dřevěné konstrukce, provádění</w:t>
      </w:r>
    </w:p>
    <w:p w:rsidR="00016642" w:rsidRDefault="00016642" w:rsidP="00016642">
      <w:pPr>
        <w:pStyle w:val="Zkladntext"/>
        <w:numPr>
          <w:ilvl w:val="0"/>
          <w:numId w:val="33"/>
        </w:numPr>
        <w:tabs>
          <w:tab w:val="clear" w:pos="720"/>
          <w:tab w:val="num" w:pos="567"/>
        </w:tabs>
        <w:spacing w:after="0"/>
        <w:ind w:left="3402" w:hanging="3402"/>
        <w:rPr>
          <w:sz w:val="20"/>
        </w:rPr>
      </w:pPr>
      <w:r w:rsidRPr="00AE4286">
        <w:rPr>
          <w:sz w:val="20"/>
        </w:rPr>
        <w:t>ČSN EN ISO 8501-1</w:t>
      </w:r>
      <w:r w:rsidRPr="00AE4286">
        <w:rPr>
          <w:sz w:val="20"/>
        </w:rPr>
        <w:tab/>
        <w:t>Příprava ocelových povrchů před nanesením nátěrových hmot a obdobných výrobků – Vizuální vyhodnocení čistoty povrchu – Část 1: Stupně zarezavění a stupně přípravy ocelového po</w:t>
      </w:r>
      <w:r w:rsidRPr="00AE4286">
        <w:rPr>
          <w:sz w:val="20"/>
        </w:rPr>
        <w:t>d</w:t>
      </w:r>
      <w:r w:rsidRPr="00AE4286">
        <w:rPr>
          <w:sz w:val="20"/>
        </w:rPr>
        <w:t>kladu bez povlaku a ocelového podkladu po úplném odstranění předchozích povlaků</w:t>
      </w:r>
    </w:p>
    <w:p w:rsidR="00016642" w:rsidRPr="00AE4286" w:rsidRDefault="00016642" w:rsidP="00016642">
      <w:pPr>
        <w:pStyle w:val="Zkladntext"/>
        <w:numPr>
          <w:ilvl w:val="0"/>
          <w:numId w:val="33"/>
        </w:numPr>
        <w:tabs>
          <w:tab w:val="clear" w:pos="720"/>
          <w:tab w:val="num" w:pos="567"/>
        </w:tabs>
        <w:spacing w:after="0"/>
        <w:ind w:left="3402" w:hanging="3402"/>
        <w:rPr>
          <w:sz w:val="18"/>
        </w:rPr>
      </w:pPr>
      <w:r w:rsidRPr="00AE4286">
        <w:rPr>
          <w:sz w:val="20"/>
        </w:rPr>
        <w:lastRenderedPageBreak/>
        <w:t>ČSN EN ISO 12944</w:t>
      </w:r>
      <w:r w:rsidRPr="00AE4286">
        <w:rPr>
          <w:sz w:val="20"/>
        </w:rPr>
        <w:tab/>
        <w:t>Nátěrové hmoty – Protikorozní ochrana ocelových konstrukcí ochrannými nátěrovými systémy</w:t>
      </w:r>
    </w:p>
    <w:p w:rsidR="00016642" w:rsidRPr="00AE4286" w:rsidRDefault="00016642" w:rsidP="00016642">
      <w:pPr>
        <w:pStyle w:val="Zkladntext"/>
        <w:numPr>
          <w:ilvl w:val="0"/>
          <w:numId w:val="33"/>
        </w:numPr>
        <w:tabs>
          <w:tab w:val="clear" w:pos="720"/>
          <w:tab w:val="num" w:pos="567"/>
        </w:tabs>
        <w:spacing w:after="0"/>
        <w:ind w:left="3402" w:hanging="3402"/>
        <w:rPr>
          <w:sz w:val="18"/>
        </w:rPr>
      </w:pPr>
      <w:r>
        <w:rPr>
          <w:sz w:val="20"/>
        </w:rPr>
        <w:t>ČSN EN ISO 1461</w:t>
      </w:r>
      <w:r>
        <w:rPr>
          <w:sz w:val="20"/>
        </w:rPr>
        <w:tab/>
      </w:r>
      <w:r w:rsidRPr="00450056">
        <w:rPr>
          <w:sz w:val="20"/>
        </w:rPr>
        <w:t>Zinkové povlaky nanášené žárově ponorem na ocelové a litin</w:t>
      </w:r>
      <w:r w:rsidRPr="00450056">
        <w:rPr>
          <w:sz w:val="20"/>
        </w:rPr>
        <w:t>o</w:t>
      </w:r>
      <w:r w:rsidRPr="00450056">
        <w:rPr>
          <w:sz w:val="20"/>
        </w:rPr>
        <w:t>vé výrobky - Specifikace a zkušební metody</w:t>
      </w:r>
    </w:p>
    <w:p w:rsidR="00016642" w:rsidRPr="00AE4286" w:rsidRDefault="00016642" w:rsidP="00016642">
      <w:pPr>
        <w:pStyle w:val="Zkladntext"/>
        <w:numPr>
          <w:ilvl w:val="0"/>
          <w:numId w:val="33"/>
        </w:numPr>
        <w:tabs>
          <w:tab w:val="clear" w:pos="720"/>
          <w:tab w:val="num" w:pos="567"/>
        </w:tabs>
        <w:spacing w:after="0"/>
        <w:ind w:left="3402" w:hanging="3402"/>
        <w:rPr>
          <w:sz w:val="18"/>
        </w:rPr>
      </w:pPr>
      <w:r>
        <w:rPr>
          <w:sz w:val="20"/>
        </w:rPr>
        <w:t>ČSN EN ISO 14713-1</w:t>
      </w:r>
      <w:r>
        <w:rPr>
          <w:sz w:val="20"/>
        </w:rPr>
        <w:tab/>
      </w:r>
      <w:r w:rsidRPr="00450056">
        <w:rPr>
          <w:sz w:val="20"/>
        </w:rPr>
        <w:t>Zinkové povlaky – Směrnice a doporučení pro ochranu ocel</w:t>
      </w:r>
      <w:r w:rsidRPr="00450056">
        <w:rPr>
          <w:sz w:val="20"/>
        </w:rPr>
        <w:t>o</w:t>
      </w:r>
      <w:r w:rsidRPr="00450056">
        <w:rPr>
          <w:sz w:val="20"/>
        </w:rPr>
        <w:t>vých a litinových konstrukcí proti korozi – Část 1: Všeobecné zásady pro navrhování a odolnost proti korozi</w:t>
      </w:r>
    </w:p>
    <w:p w:rsidR="00450056" w:rsidRDefault="00450056" w:rsidP="00F527F2">
      <w:pPr>
        <w:pStyle w:val="Zkladntext"/>
        <w:rPr>
          <w:b/>
          <w:u w:val="single"/>
        </w:rPr>
      </w:pPr>
    </w:p>
    <w:p w:rsidR="00F527F2" w:rsidRPr="00F527F2" w:rsidRDefault="00016642" w:rsidP="00F527F2">
      <w:pPr>
        <w:pStyle w:val="Zkladntext"/>
      </w:pPr>
      <w:r w:rsidRPr="00225188">
        <w:rPr>
          <w:b/>
          <w:u w:val="single"/>
        </w:rPr>
        <w:t>Ostatní podklady</w:t>
      </w:r>
    </w:p>
    <w:p w:rsidR="00F527F2" w:rsidRPr="006005B8" w:rsidRDefault="00F527F2" w:rsidP="00F527F2">
      <w:pPr>
        <w:numPr>
          <w:ilvl w:val="0"/>
          <w:numId w:val="33"/>
        </w:numPr>
        <w:tabs>
          <w:tab w:val="num" w:pos="567"/>
        </w:tabs>
        <w:ind w:left="3402" w:hanging="3402"/>
        <w:jc w:val="both"/>
        <w:rPr>
          <w:rFonts w:cs="Arial"/>
          <w:sz w:val="20"/>
          <w:szCs w:val="18"/>
          <w:lang w:eastAsia="cs-CZ"/>
        </w:rPr>
      </w:pPr>
      <w:r w:rsidRPr="006005B8">
        <w:rPr>
          <w:rFonts w:cs="Arial"/>
          <w:sz w:val="20"/>
          <w:szCs w:val="18"/>
          <w:lang w:eastAsia="cs-CZ"/>
        </w:rPr>
        <w:t>Projektová dokumentace – Dokumentace stavebního povolení</w:t>
      </w:r>
    </w:p>
    <w:p w:rsidR="00F527F2" w:rsidRPr="00482E7F" w:rsidRDefault="00F527F2" w:rsidP="00F527F2">
      <w:pPr>
        <w:jc w:val="both"/>
        <w:rPr>
          <w:rFonts w:cs="Arial"/>
          <w:sz w:val="20"/>
          <w:szCs w:val="18"/>
          <w:lang w:eastAsia="cs-CZ"/>
        </w:rPr>
      </w:pPr>
    </w:p>
    <w:p w:rsidR="00F527F2" w:rsidRPr="00225188" w:rsidRDefault="00F527F2" w:rsidP="00F527F2">
      <w:pPr>
        <w:rPr>
          <w:b/>
          <w:u w:val="single"/>
        </w:rPr>
      </w:pPr>
      <w:r w:rsidRPr="00225188">
        <w:rPr>
          <w:b/>
          <w:u w:val="single"/>
        </w:rPr>
        <w:t>Programy</w:t>
      </w:r>
    </w:p>
    <w:p w:rsidR="00F527F2" w:rsidRPr="00482E7F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 w:rsidRPr="00482E7F">
        <w:rPr>
          <w:rFonts w:cs="Arial"/>
          <w:szCs w:val="18"/>
          <w:lang w:eastAsia="cs-CZ"/>
        </w:rPr>
        <w:t>MS Word</w:t>
      </w:r>
    </w:p>
    <w:p w:rsidR="00F527F2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 w:rsidRPr="00482E7F">
        <w:rPr>
          <w:rFonts w:cs="Arial"/>
          <w:szCs w:val="18"/>
          <w:lang w:eastAsia="cs-CZ"/>
        </w:rPr>
        <w:t>MS Excel</w:t>
      </w:r>
    </w:p>
    <w:p w:rsidR="00F527F2" w:rsidRPr="00482E7F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>
        <w:rPr>
          <w:rFonts w:cs="Arial"/>
          <w:szCs w:val="18"/>
          <w:lang w:eastAsia="cs-CZ"/>
        </w:rPr>
        <w:t>SCIA Engineer 18.1.</w:t>
      </w:r>
    </w:p>
    <w:p w:rsidR="00F527F2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>
        <w:rPr>
          <w:rFonts w:cs="Arial"/>
          <w:szCs w:val="18"/>
          <w:lang w:eastAsia="cs-CZ"/>
        </w:rPr>
        <w:t>FIN EC 2018 - Beton</w:t>
      </w:r>
    </w:p>
    <w:p w:rsidR="00F527F2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>
        <w:rPr>
          <w:rFonts w:cs="Arial"/>
          <w:szCs w:val="18"/>
          <w:lang w:eastAsia="cs-CZ"/>
        </w:rPr>
        <w:t>GEO5 2018 – Patky</w:t>
      </w:r>
    </w:p>
    <w:p w:rsidR="00F527F2" w:rsidRPr="00482E7F" w:rsidRDefault="00F527F2" w:rsidP="00F527F2">
      <w:pPr>
        <w:pStyle w:val="Odstavecseseznamem"/>
        <w:numPr>
          <w:ilvl w:val="0"/>
          <w:numId w:val="34"/>
        </w:numPr>
        <w:jc w:val="both"/>
        <w:rPr>
          <w:rFonts w:cs="Arial"/>
          <w:szCs w:val="18"/>
          <w:lang w:eastAsia="cs-CZ"/>
        </w:rPr>
      </w:pPr>
      <w:r>
        <w:rPr>
          <w:rFonts w:cs="Arial"/>
          <w:szCs w:val="18"/>
          <w:lang w:eastAsia="cs-CZ"/>
        </w:rPr>
        <w:t>HILTI PROFIS ANCHOR</w:t>
      </w:r>
    </w:p>
    <w:p w:rsidR="00AB68A5" w:rsidRPr="00AB68A5" w:rsidRDefault="00AB68A5" w:rsidP="00AB68A5">
      <w:pPr>
        <w:jc w:val="both"/>
        <w:rPr>
          <w:rFonts w:cs="Arial"/>
          <w:szCs w:val="18"/>
          <w:lang w:eastAsia="cs-CZ"/>
        </w:rPr>
      </w:pPr>
    </w:p>
    <w:p w:rsidR="003567CA" w:rsidRDefault="003567CA" w:rsidP="003567CA">
      <w:pPr>
        <w:rPr>
          <w:lang w:eastAsia="cs-CZ"/>
        </w:rPr>
      </w:pPr>
    </w:p>
    <w:p w:rsidR="003567CA" w:rsidRDefault="003567CA" w:rsidP="00463054">
      <w:pPr>
        <w:pStyle w:val="Nadpis1"/>
      </w:pPr>
      <w:bookmarkStart w:id="56" w:name="_Toc503948657"/>
      <w:bookmarkStart w:id="57" w:name="_Toc11239116"/>
      <w:r>
        <w:t>Požadavky na bezpečnost při provádění nosných konstrukcí – odkaz na příslušné předpisy a normy</w:t>
      </w:r>
      <w:bookmarkEnd w:id="56"/>
      <w:bookmarkEnd w:id="57"/>
    </w:p>
    <w:p w:rsidR="009E294F" w:rsidRPr="00F76368" w:rsidRDefault="003567CA" w:rsidP="00F76368">
      <w:pPr>
        <w:autoSpaceDE w:val="0"/>
        <w:autoSpaceDN w:val="0"/>
        <w:adjustRightInd w:val="0"/>
        <w:rPr>
          <w:rFonts w:cs="Arial"/>
          <w:szCs w:val="20"/>
        </w:rPr>
      </w:pPr>
      <w:r w:rsidRPr="006B553D">
        <w:rPr>
          <w:rFonts w:cs="Arial"/>
          <w:szCs w:val="20"/>
        </w:rPr>
        <w:t>Pracovníci na stavbě budou poučeni o BOZ, zahraniční pracovníci budou mít platné pracovní povolení. Kvalifi</w:t>
      </w:r>
      <w:r>
        <w:rPr>
          <w:rFonts w:cs="Arial"/>
          <w:szCs w:val="20"/>
        </w:rPr>
        <w:t xml:space="preserve">kované </w:t>
      </w:r>
      <w:r w:rsidRPr="006B553D">
        <w:rPr>
          <w:rFonts w:cs="Arial"/>
          <w:szCs w:val="20"/>
        </w:rPr>
        <w:t>práce budou provádět pracovníci s patřičnou atestací nebo proškol</w:t>
      </w:r>
      <w:r w:rsidRPr="006B553D">
        <w:rPr>
          <w:rFonts w:cs="Arial"/>
          <w:szCs w:val="20"/>
        </w:rPr>
        <w:t>e</w:t>
      </w:r>
      <w:r w:rsidR="00C05CFC">
        <w:rPr>
          <w:rFonts w:cs="Arial"/>
          <w:szCs w:val="20"/>
        </w:rPr>
        <w:t xml:space="preserve">ním. </w:t>
      </w:r>
      <w:r w:rsidRPr="006B553D">
        <w:rPr>
          <w:rFonts w:cs="Arial"/>
          <w:szCs w:val="20"/>
        </w:rPr>
        <w:t>Na stavbě budou dodržová</w:t>
      </w:r>
      <w:r>
        <w:rPr>
          <w:rFonts w:cs="Arial"/>
          <w:szCs w:val="20"/>
        </w:rPr>
        <w:t xml:space="preserve">ny všechny </w:t>
      </w:r>
      <w:r w:rsidRPr="006B553D">
        <w:rPr>
          <w:rFonts w:cs="Arial"/>
          <w:szCs w:val="20"/>
        </w:rPr>
        <w:t>normy ČSN související s bezpečností práce.</w:t>
      </w:r>
    </w:p>
    <w:sectPr w:rsidR="009E294F" w:rsidRPr="00F76368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B7" w:rsidRDefault="00DF4EB7">
      <w:r>
        <w:separator/>
      </w:r>
    </w:p>
  </w:endnote>
  <w:endnote w:type="continuationSeparator" w:id="0">
    <w:p w:rsidR="00DF4EB7" w:rsidRDefault="00DF4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FB9" w:rsidRDefault="00D63FB9" w:rsidP="000F526B">
    <w:pPr>
      <w:pStyle w:val="Zpat"/>
      <w:rPr>
        <w:sz w:val="16"/>
        <w:szCs w:val="16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6345"/>
      <w:gridCol w:w="2865"/>
    </w:tblGrid>
    <w:tr w:rsidR="00D63FB9" w:rsidRPr="002A61C9" w:rsidTr="00B02FE9">
      <w:tc>
        <w:tcPr>
          <w:tcW w:w="634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file: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FILENAME </w:instrText>
          </w:r>
          <w:r w:rsidRPr="002A61C9">
            <w:rPr>
              <w:sz w:val="16"/>
              <w:szCs w:val="16"/>
            </w:rPr>
            <w:fldChar w:fldCharType="separate"/>
          </w:r>
          <w:r w:rsidR="002250E2">
            <w:rPr>
              <w:noProof/>
              <w:sz w:val="16"/>
              <w:szCs w:val="16"/>
            </w:rPr>
            <w:t>DPS_D12a_R0_Technická zpráva.docx</w:t>
          </w:r>
          <w:r w:rsidRPr="002A61C9">
            <w:rPr>
              <w:sz w:val="16"/>
              <w:szCs w:val="16"/>
            </w:rPr>
            <w:fldChar w:fldCharType="end"/>
          </w:r>
        </w:p>
      </w:tc>
      <w:tc>
        <w:tcPr>
          <w:tcW w:w="2865" w:type="dxa"/>
          <w:tcBorders>
            <w:top w:val="single" w:sz="4" w:space="0" w:color="auto"/>
          </w:tcBorders>
        </w:tcPr>
        <w:p w:rsidR="00D63FB9" w:rsidRPr="002A61C9" w:rsidRDefault="00D63FB9" w:rsidP="00D63FB9">
          <w:pPr>
            <w:pStyle w:val="Zpat"/>
            <w:jc w:val="right"/>
            <w:rPr>
              <w:sz w:val="16"/>
              <w:szCs w:val="16"/>
            </w:rPr>
          </w:pPr>
          <w:r w:rsidRPr="002A61C9">
            <w:rPr>
              <w:sz w:val="16"/>
              <w:szCs w:val="16"/>
            </w:rPr>
            <w:t xml:space="preserve">strana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PAGE </w:instrText>
          </w:r>
          <w:r w:rsidRPr="002A61C9">
            <w:rPr>
              <w:sz w:val="16"/>
              <w:szCs w:val="16"/>
            </w:rPr>
            <w:fldChar w:fldCharType="separate"/>
          </w:r>
          <w:r w:rsidR="002250E2">
            <w:rPr>
              <w:sz w:val="16"/>
              <w:szCs w:val="16"/>
            </w:rPr>
            <w:t>1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 xml:space="preserve"> (celkem </w:t>
          </w:r>
          <w:r w:rsidRPr="002A61C9">
            <w:rPr>
              <w:sz w:val="16"/>
              <w:szCs w:val="16"/>
            </w:rPr>
            <w:fldChar w:fldCharType="begin"/>
          </w:r>
          <w:r w:rsidRPr="002A61C9">
            <w:rPr>
              <w:sz w:val="16"/>
              <w:szCs w:val="16"/>
            </w:rPr>
            <w:instrText xml:space="preserve"> NUMPAGES </w:instrText>
          </w:r>
          <w:r w:rsidRPr="002A61C9">
            <w:rPr>
              <w:sz w:val="16"/>
              <w:szCs w:val="16"/>
            </w:rPr>
            <w:fldChar w:fldCharType="separate"/>
          </w:r>
          <w:r w:rsidR="002250E2">
            <w:rPr>
              <w:sz w:val="16"/>
              <w:szCs w:val="16"/>
            </w:rPr>
            <w:t>6</w:t>
          </w:r>
          <w:r w:rsidRPr="002A61C9">
            <w:rPr>
              <w:sz w:val="16"/>
              <w:szCs w:val="16"/>
            </w:rPr>
            <w:fldChar w:fldCharType="end"/>
          </w:r>
          <w:r w:rsidRPr="002A61C9">
            <w:rPr>
              <w:sz w:val="16"/>
              <w:szCs w:val="16"/>
            </w:rPr>
            <w:t>)</w:t>
          </w:r>
        </w:p>
      </w:tc>
    </w:tr>
  </w:tbl>
  <w:p w:rsidR="00D63FB9" w:rsidRPr="0067778F" w:rsidRDefault="00D63FB9" w:rsidP="000F526B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B7" w:rsidRDefault="00DF4EB7">
      <w:r>
        <w:separator/>
      </w:r>
    </w:p>
  </w:footnote>
  <w:footnote w:type="continuationSeparator" w:id="0">
    <w:p w:rsidR="00DF4EB7" w:rsidRDefault="00DF4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1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74"/>
      <w:gridCol w:w="7717"/>
    </w:tblGrid>
    <w:tr w:rsidR="008A3F2D" w:rsidRPr="002F130E" w:rsidTr="006274EF">
      <w:trPr>
        <w:trHeight w:val="1000"/>
      </w:trPr>
      <w:tc>
        <w:tcPr>
          <w:tcW w:w="1151" w:type="dxa"/>
          <w:tcBorders>
            <w:bottom w:val="single" w:sz="6" w:space="0" w:color="auto"/>
          </w:tcBorders>
        </w:tcPr>
        <w:p w:rsidR="008A3F2D" w:rsidRPr="00FB145E" w:rsidRDefault="008A3F2D" w:rsidP="006274EF">
          <w:pPr>
            <w:pStyle w:val="Zhlav"/>
            <w:rPr>
              <w:noProof/>
              <w:sz w:val="16"/>
              <w:lang w:eastAsia="cs-CZ"/>
            </w:rPr>
          </w:pPr>
          <w:r>
            <w:rPr>
              <w:noProof/>
              <w:lang w:eastAsia="cs-CZ"/>
            </w:rPr>
            <w:drawing>
              <wp:inline distT="0" distB="0" distL="0" distR="0" wp14:anchorId="5C8BDBCF" wp14:editId="7C7C7F91">
                <wp:extent cx="594995" cy="594995"/>
                <wp:effectExtent l="0" t="0" r="0" b="0"/>
                <wp:docPr id="2" name="Obrázek 2" descr="Sater_Logo_2008_08_29_mod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Sater_Logo_2008_08_29_mod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4995" cy="594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67" w:type="dxa"/>
          <w:tcBorders>
            <w:bottom w:val="single" w:sz="6" w:space="0" w:color="auto"/>
          </w:tcBorders>
        </w:tcPr>
        <w:p w:rsidR="008A3F2D" w:rsidRDefault="008A3F2D" w:rsidP="006274EF">
          <w:pPr>
            <w:pStyle w:val="Zhlav"/>
            <w:ind w:left="4"/>
            <w:jc w:val="center"/>
            <w:rPr>
              <w:rFonts w:cs="Arial"/>
              <w:b/>
              <w:sz w:val="24"/>
              <w:szCs w:val="20"/>
              <w:lang w:eastAsia="cs-CZ"/>
            </w:rPr>
          </w:pPr>
          <w:r w:rsidRPr="0081516B">
            <w:rPr>
              <w:rFonts w:cs="Arial"/>
              <w:b/>
              <w:sz w:val="24"/>
              <w:szCs w:val="20"/>
              <w:lang w:eastAsia="cs-CZ"/>
            </w:rPr>
            <w:t>SPORADICAL - Úpravy veře</w:t>
          </w:r>
          <w:r>
            <w:rPr>
              <w:rFonts w:cs="Arial"/>
              <w:b/>
              <w:sz w:val="24"/>
              <w:szCs w:val="20"/>
              <w:lang w:eastAsia="cs-CZ"/>
            </w:rPr>
            <w:t>jného parteru a zahrady objektů</w:t>
          </w:r>
        </w:p>
        <w:p w:rsidR="008A3F2D" w:rsidRPr="0081516B" w:rsidRDefault="008A3F2D" w:rsidP="006274EF">
          <w:pPr>
            <w:pStyle w:val="Zhlav"/>
            <w:ind w:left="4"/>
            <w:jc w:val="center"/>
            <w:rPr>
              <w:rFonts w:cs="Arial"/>
              <w:b/>
              <w:caps/>
              <w:sz w:val="28"/>
              <w:lang w:eastAsia="cs-CZ"/>
            </w:rPr>
          </w:pPr>
          <w:r w:rsidRPr="0081516B">
            <w:rPr>
              <w:rFonts w:cs="Arial"/>
              <w:b/>
              <w:sz w:val="24"/>
              <w:szCs w:val="20"/>
              <w:lang w:eastAsia="cs-CZ"/>
            </w:rPr>
            <w:t>Husova 69 a 110 - 113, Kolín</w:t>
          </w:r>
        </w:p>
        <w:p w:rsidR="008A3F2D" w:rsidRDefault="008A3F2D" w:rsidP="006274EF">
          <w:pPr>
            <w:pStyle w:val="Zhlav"/>
            <w:tabs>
              <w:tab w:val="left" w:pos="6345"/>
            </w:tabs>
            <w:rPr>
              <w:sz w:val="18"/>
              <w:szCs w:val="18"/>
            </w:rPr>
          </w:pPr>
          <w:r>
            <w:rPr>
              <w:sz w:val="18"/>
              <w:szCs w:val="18"/>
            </w:rPr>
            <w:tab/>
          </w:r>
          <w:r>
            <w:rPr>
              <w:sz w:val="18"/>
              <w:szCs w:val="18"/>
            </w:rPr>
            <w:tab/>
          </w:r>
        </w:p>
        <w:p w:rsidR="008A3F2D" w:rsidRPr="002F130E" w:rsidRDefault="008A3F2D" w:rsidP="006274EF">
          <w:pPr>
            <w:pStyle w:val="Zhlav"/>
            <w:jc w:val="right"/>
            <w:rPr>
              <w:sz w:val="18"/>
              <w:szCs w:val="18"/>
              <w:lang w:eastAsia="cs-CZ"/>
            </w:rPr>
          </w:pPr>
          <w:r>
            <w:rPr>
              <w:sz w:val="18"/>
              <w:szCs w:val="18"/>
            </w:rPr>
            <w:t>Zakázkové číslo:</w:t>
          </w:r>
          <w:r w:rsidRPr="00E77532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990 198 - 18</w:t>
          </w:r>
        </w:p>
      </w:tc>
    </w:tr>
  </w:tbl>
  <w:p w:rsidR="00D63FB9" w:rsidRPr="008A3F2D" w:rsidRDefault="00D63FB9" w:rsidP="008A3F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472E"/>
    <w:multiLevelType w:val="hybridMultilevel"/>
    <w:tmpl w:val="EF88B3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A0F0C"/>
    <w:multiLevelType w:val="hybridMultilevel"/>
    <w:tmpl w:val="F7726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3134"/>
    <w:multiLevelType w:val="hybridMultilevel"/>
    <w:tmpl w:val="FCF29A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3EB9"/>
    <w:multiLevelType w:val="multilevel"/>
    <w:tmpl w:val="E304C1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5910CFD"/>
    <w:multiLevelType w:val="hybridMultilevel"/>
    <w:tmpl w:val="E81058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82019"/>
    <w:multiLevelType w:val="hybridMultilevel"/>
    <w:tmpl w:val="4E14DB34"/>
    <w:lvl w:ilvl="0" w:tplc="E4A8A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B6E4A"/>
    <w:multiLevelType w:val="multilevel"/>
    <w:tmpl w:val="3AA65CD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2AE3891"/>
    <w:multiLevelType w:val="hybridMultilevel"/>
    <w:tmpl w:val="B584064E"/>
    <w:lvl w:ilvl="0" w:tplc="EE1AE0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B06FC"/>
    <w:multiLevelType w:val="hybridMultilevel"/>
    <w:tmpl w:val="0966CC5E"/>
    <w:lvl w:ilvl="0" w:tplc="FCD870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3C18B6"/>
    <w:multiLevelType w:val="multilevel"/>
    <w:tmpl w:val="79C0216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77E0DCB"/>
    <w:multiLevelType w:val="hybridMultilevel"/>
    <w:tmpl w:val="F06283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32735"/>
    <w:multiLevelType w:val="hybridMultilevel"/>
    <w:tmpl w:val="8BB8763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DD7755"/>
    <w:multiLevelType w:val="hybridMultilevel"/>
    <w:tmpl w:val="1C8EB5D8"/>
    <w:lvl w:ilvl="0" w:tplc="D22447E6">
      <w:start w:val="1"/>
      <w:numFmt w:val="decimal"/>
      <w:pStyle w:val="Nadpis1"/>
      <w:lvlText w:val="%1)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641D5"/>
    <w:multiLevelType w:val="hybridMultilevel"/>
    <w:tmpl w:val="A8460E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A5FA2"/>
    <w:multiLevelType w:val="hybridMultilevel"/>
    <w:tmpl w:val="F0E292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AC37F8"/>
    <w:multiLevelType w:val="hybridMultilevel"/>
    <w:tmpl w:val="BC06C832"/>
    <w:lvl w:ilvl="0" w:tplc="44E0C388">
      <w:start w:val="1"/>
      <w:numFmt w:val="bullet"/>
      <w:pStyle w:val="TCR-Odrazk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602A53"/>
    <w:multiLevelType w:val="hybridMultilevel"/>
    <w:tmpl w:val="833E88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CF1CB4"/>
    <w:multiLevelType w:val="hybridMultilevel"/>
    <w:tmpl w:val="C56404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70624CD"/>
    <w:multiLevelType w:val="singleLevel"/>
    <w:tmpl w:val="E6805614"/>
    <w:lvl w:ilvl="0">
      <w:start w:val="1"/>
      <w:numFmt w:val="decimal"/>
      <w:lvlText w:val="[ %1 ]"/>
      <w:lvlJc w:val="left"/>
      <w:pPr>
        <w:tabs>
          <w:tab w:val="num" w:pos="720"/>
        </w:tabs>
        <w:ind w:left="360" w:hanging="360"/>
      </w:pPr>
      <w:rPr>
        <w:rFonts w:ascii="Arial" w:hAnsi="Arial" w:hint="default"/>
      </w:rPr>
    </w:lvl>
  </w:abstractNum>
  <w:abstractNum w:abstractNumId="19">
    <w:nsid w:val="70581F70"/>
    <w:multiLevelType w:val="hybridMultilevel"/>
    <w:tmpl w:val="7B3AEB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741FD2"/>
    <w:multiLevelType w:val="multilevel"/>
    <w:tmpl w:val="BF24538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7C82689F"/>
    <w:multiLevelType w:val="hybridMultilevel"/>
    <w:tmpl w:val="D6CE59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EB2208"/>
    <w:multiLevelType w:val="hybridMultilevel"/>
    <w:tmpl w:val="B652D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9"/>
    <w:lvlOverride w:ilvl="0">
      <w:startOverride w:val="1"/>
    </w:lvlOverride>
  </w:num>
  <w:num w:numId="6">
    <w:abstractNumId w:val="9"/>
    <w:lvlOverride w:ilvl="0">
      <w:startOverride w:val="1"/>
    </w:lvlOverride>
  </w:num>
  <w:num w:numId="7">
    <w:abstractNumId w:val="0"/>
  </w:num>
  <w:num w:numId="8">
    <w:abstractNumId w:val="22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9"/>
    <w:lvlOverride w:ilvl="0">
      <w:startOverride w:val="1"/>
    </w:lvlOverride>
  </w:num>
  <w:num w:numId="12">
    <w:abstractNumId w:val="21"/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10"/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1"/>
  </w:num>
  <w:num w:numId="22">
    <w:abstractNumId w:val="9"/>
    <w:lvlOverride w:ilvl="0">
      <w:startOverride w:val="1"/>
    </w:lvlOverride>
  </w:num>
  <w:num w:numId="23">
    <w:abstractNumId w:val="16"/>
  </w:num>
  <w:num w:numId="24">
    <w:abstractNumId w:val="9"/>
    <w:lvlOverride w:ilvl="0">
      <w:startOverride w:val="1"/>
    </w:lvlOverride>
  </w:num>
  <w:num w:numId="25">
    <w:abstractNumId w:val="14"/>
  </w:num>
  <w:num w:numId="26">
    <w:abstractNumId w:val="9"/>
    <w:lvlOverride w:ilvl="0">
      <w:startOverride w:val="1"/>
    </w:lvlOverride>
  </w:num>
  <w:num w:numId="27">
    <w:abstractNumId w:val="2"/>
  </w:num>
  <w:num w:numId="28">
    <w:abstractNumId w:val="11"/>
  </w:num>
  <w:num w:numId="29">
    <w:abstractNumId w:val="6"/>
  </w:num>
  <w:num w:numId="30">
    <w:abstractNumId w:val="17"/>
  </w:num>
  <w:num w:numId="31">
    <w:abstractNumId w:val="3"/>
  </w:num>
  <w:num w:numId="32">
    <w:abstractNumId w:val="13"/>
  </w:num>
  <w:num w:numId="33">
    <w:abstractNumId w:val="18"/>
  </w:num>
  <w:num w:numId="34">
    <w:abstractNumId w:val="8"/>
  </w:num>
  <w:num w:numId="35">
    <w:abstractNumId w:val="15"/>
  </w:num>
  <w:num w:numId="36">
    <w:abstractNumId w:val="7"/>
  </w:num>
  <w:num w:numId="37">
    <w:abstractNumId w:val="20"/>
  </w:num>
  <w:num w:numId="3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3EA"/>
    <w:rsid w:val="000036EE"/>
    <w:rsid w:val="00015DE3"/>
    <w:rsid w:val="00016642"/>
    <w:rsid w:val="00033712"/>
    <w:rsid w:val="00037583"/>
    <w:rsid w:val="00041759"/>
    <w:rsid w:val="000458D8"/>
    <w:rsid w:val="00057463"/>
    <w:rsid w:val="000672C5"/>
    <w:rsid w:val="00071BA0"/>
    <w:rsid w:val="000761DD"/>
    <w:rsid w:val="00084C4A"/>
    <w:rsid w:val="00090082"/>
    <w:rsid w:val="000B5B0B"/>
    <w:rsid w:val="000C5CDC"/>
    <w:rsid w:val="000D116B"/>
    <w:rsid w:val="000E0E1C"/>
    <w:rsid w:val="000E2E89"/>
    <w:rsid w:val="000F0A0A"/>
    <w:rsid w:val="000F0F1F"/>
    <w:rsid w:val="000F4F1D"/>
    <w:rsid w:val="000F526B"/>
    <w:rsid w:val="000F63D5"/>
    <w:rsid w:val="00105B15"/>
    <w:rsid w:val="00133F5E"/>
    <w:rsid w:val="001367DF"/>
    <w:rsid w:val="001717A0"/>
    <w:rsid w:val="0017340F"/>
    <w:rsid w:val="00194701"/>
    <w:rsid w:val="00196B8C"/>
    <w:rsid w:val="001C26AA"/>
    <w:rsid w:val="001D2065"/>
    <w:rsid w:val="001D73FA"/>
    <w:rsid w:val="001F7817"/>
    <w:rsid w:val="002177CB"/>
    <w:rsid w:val="0022264F"/>
    <w:rsid w:val="00224434"/>
    <w:rsid w:val="002250E2"/>
    <w:rsid w:val="0023398A"/>
    <w:rsid w:val="00244A6D"/>
    <w:rsid w:val="002537B6"/>
    <w:rsid w:val="00280297"/>
    <w:rsid w:val="00280A8F"/>
    <w:rsid w:val="00280DC7"/>
    <w:rsid w:val="0028398E"/>
    <w:rsid w:val="00286968"/>
    <w:rsid w:val="002B42CE"/>
    <w:rsid w:val="002D39DD"/>
    <w:rsid w:val="002D47C1"/>
    <w:rsid w:val="002E5D5B"/>
    <w:rsid w:val="002F45E8"/>
    <w:rsid w:val="00321DA9"/>
    <w:rsid w:val="00322E81"/>
    <w:rsid w:val="00342600"/>
    <w:rsid w:val="003567CA"/>
    <w:rsid w:val="003572AB"/>
    <w:rsid w:val="0036156D"/>
    <w:rsid w:val="003879F1"/>
    <w:rsid w:val="003948F7"/>
    <w:rsid w:val="003949C9"/>
    <w:rsid w:val="00394BB7"/>
    <w:rsid w:val="003A035B"/>
    <w:rsid w:val="003B0E37"/>
    <w:rsid w:val="003D6A4E"/>
    <w:rsid w:val="003E476C"/>
    <w:rsid w:val="004021F7"/>
    <w:rsid w:val="004022CC"/>
    <w:rsid w:val="00406AF6"/>
    <w:rsid w:val="004120F8"/>
    <w:rsid w:val="004236A4"/>
    <w:rsid w:val="00442CAA"/>
    <w:rsid w:val="0044612C"/>
    <w:rsid w:val="00450056"/>
    <w:rsid w:val="00463054"/>
    <w:rsid w:val="0046489A"/>
    <w:rsid w:val="00472D36"/>
    <w:rsid w:val="004D00A3"/>
    <w:rsid w:val="0050333D"/>
    <w:rsid w:val="00510490"/>
    <w:rsid w:val="005263B5"/>
    <w:rsid w:val="00530A02"/>
    <w:rsid w:val="0054103F"/>
    <w:rsid w:val="00542404"/>
    <w:rsid w:val="0055024A"/>
    <w:rsid w:val="00552510"/>
    <w:rsid w:val="00585C71"/>
    <w:rsid w:val="00597EA0"/>
    <w:rsid w:val="005A6EB7"/>
    <w:rsid w:val="005B28BD"/>
    <w:rsid w:val="005B59FF"/>
    <w:rsid w:val="005C09C0"/>
    <w:rsid w:val="005C5FAD"/>
    <w:rsid w:val="005D6384"/>
    <w:rsid w:val="005E01B2"/>
    <w:rsid w:val="005F4091"/>
    <w:rsid w:val="00610DD6"/>
    <w:rsid w:val="00615216"/>
    <w:rsid w:val="00620838"/>
    <w:rsid w:val="00674EE9"/>
    <w:rsid w:val="006A1A19"/>
    <w:rsid w:val="006C2502"/>
    <w:rsid w:val="006D42E2"/>
    <w:rsid w:val="006E5913"/>
    <w:rsid w:val="006F4D65"/>
    <w:rsid w:val="00710434"/>
    <w:rsid w:val="0071310E"/>
    <w:rsid w:val="0072250B"/>
    <w:rsid w:val="0072435C"/>
    <w:rsid w:val="007356AD"/>
    <w:rsid w:val="007614F7"/>
    <w:rsid w:val="00764504"/>
    <w:rsid w:val="00785931"/>
    <w:rsid w:val="007B6151"/>
    <w:rsid w:val="007C2784"/>
    <w:rsid w:val="007C315A"/>
    <w:rsid w:val="007C4BB9"/>
    <w:rsid w:val="007C769D"/>
    <w:rsid w:val="007D673C"/>
    <w:rsid w:val="008132FD"/>
    <w:rsid w:val="0081788F"/>
    <w:rsid w:val="00824946"/>
    <w:rsid w:val="008414F0"/>
    <w:rsid w:val="00853FE1"/>
    <w:rsid w:val="00857472"/>
    <w:rsid w:val="008613F8"/>
    <w:rsid w:val="00873E2E"/>
    <w:rsid w:val="00897E2D"/>
    <w:rsid w:val="008A3F2D"/>
    <w:rsid w:val="008B0DDD"/>
    <w:rsid w:val="008B7356"/>
    <w:rsid w:val="008E4D89"/>
    <w:rsid w:val="008F659E"/>
    <w:rsid w:val="0090288B"/>
    <w:rsid w:val="00911428"/>
    <w:rsid w:val="00911775"/>
    <w:rsid w:val="00931AB8"/>
    <w:rsid w:val="00953E54"/>
    <w:rsid w:val="00956DE1"/>
    <w:rsid w:val="0099306A"/>
    <w:rsid w:val="009A42CE"/>
    <w:rsid w:val="009A47DD"/>
    <w:rsid w:val="009A64E3"/>
    <w:rsid w:val="009D38E5"/>
    <w:rsid w:val="009E294F"/>
    <w:rsid w:val="009F1513"/>
    <w:rsid w:val="00A13F4D"/>
    <w:rsid w:val="00A243E0"/>
    <w:rsid w:val="00A244B9"/>
    <w:rsid w:val="00A34C74"/>
    <w:rsid w:val="00A62104"/>
    <w:rsid w:val="00A76402"/>
    <w:rsid w:val="00AA02E8"/>
    <w:rsid w:val="00AA17AB"/>
    <w:rsid w:val="00AB68A5"/>
    <w:rsid w:val="00AC2CD0"/>
    <w:rsid w:val="00AC2FF9"/>
    <w:rsid w:val="00AE21DB"/>
    <w:rsid w:val="00AE511D"/>
    <w:rsid w:val="00B02FE9"/>
    <w:rsid w:val="00B04AF1"/>
    <w:rsid w:val="00B073CA"/>
    <w:rsid w:val="00B2622A"/>
    <w:rsid w:val="00B30E79"/>
    <w:rsid w:val="00B337B5"/>
    <w:rsid w:val="00B53518"/>
    <w:rsid w:val="00B97699"/>
    <w:rsid w:val="00BB3207"/>
    <w:rsid w:val="00BB4D18"/>
    <w:rsid w:val="00BB5DB6"/>
    <w:rsid w:val="00BC1320"/>
    <w:rsid w:val="00BC26A5"/>
    <w:rsid w:val="00BD282A"/>
    <w:rsid w:val="00BE6D82"/>
    <w:rsid w:val="00BF7C55"/>
    <w:rsid w:val="00C004E1"/>
    <w:rsid w:val="00C05CFC"/>
    <w:rsid w:val="00C13C95"/>
    <w:rsid w:val="00C37C28"/>
    <w:rsid w:val="00C439F5"/>
    <w:rsid w:val="00C73260"/>
    <w:rsid w:val="00C931D2"/>
    <w:rsid w:val="00CA10C5"/>
    <w:rsid w:val="00CA1A38"/>
    <w:rsid w:val="00CA265E"/>
    <w:rsid w:val="00CA27AA"/>
    <w:rsid w:val="00CB08B3"/>
    <w:rsid w:val="00CB7737"/>
    <w:rsid w:val="00CC0514"/>
    <w:rsid w:val="00CD0D32"/>
    <w:rsid w:val="00CE5B0C"/>
    <w:rsid w:val="00CF1DAB"/>
    <w:rsid w:val="00D02D4B"/>
    <w:rsid w:val="00D43745"/>
    <w:rsid w:val="00D4466E"/>
    <w:rsid w:val="00D500B9"/>
    <w:rsid w:val="00D63FB9"/>
    <w:rsid w:val="00D86993"/>
    <w:rsid w:val="00DB624D"/>
    <w:rsid w:val="00DC3D47"/>
    <w:rsid w:val="00DD3B6C"/>
    <w:rsid w:val="00DE7B0C"/>
    <w:rsid w:val="00DF4EB7"/>
    <w:rsid w:val="00DF563D"/>
    <w:rsid w:val="00E659A2"/>
    <w:rsid w:val="00E869D2"/>
    <w:rsid w:val="00EA4CFB"/>
    <w:rsid w:val="00EC1EA5"/>
    <w:rsid w:val="00EC299F"/>
    <w:rsid w:val="00F276B5"/>
    <w:rsid w:val="00F35C55"/>
    <w:rsid w:val="00F527F2"/>
    <w:rsid w:val="00F71CC9"/>
    <w:rsid w:val="00F76368"/>
    <w:rsid w:val="00F94F18"/>
    <w:rsid w:val="00FC0A54"/>
    <w:rsid w:val="00FC13EA"/>
    <w:rsid w:val="00FC1BB6"/>
    <w:rsid w:val="00FC28D7"/>
    <w:rsid w:val="00FE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463054"/>
    <w:pPr>
      <w:keepNext/>
      <w:numPr>
        <w:numId w:val="2"/>
      </w:numPr>
      <w:pBdr>
        <w:bottom w:val="single" w:sz="6" w:space="1" w:color="auto"/>
      </w:pBdr>
      <w:shd w:val="clear" w:color="auto" w:fill="D9D9D9" w:themeFill="background1" w:themeFillShade="D9"/>
      <w:tabs>
        <w:tab w:val="left" w:pos="936"/>
      </w:tabs>
      <w:spacing w:after="200" w:line="0" w:lineRule="atLeast"/>
      <w:ind w:left="425" w:hanging="425"/>
      <w:jc w:val="both"/>
      <w:outlineLvl w:val="0"/>
    </w:pPr>
    <w:rPr>
      <w:b/>
      <w:kern w:val="28"/>
      <w:szCs w:val="20"/>
      <w:lang w:eastAsia="cs-CZ"/>
    </w:rPr>
  </w:style>
  <w:style w:type="paragraph" w:styleId="Nadpis2">
    <w:name w:val="heading 2"/>
    <w:basedOn w:val="Normln"/>
    <w:next w:val="Normln"/>
    <w:autoRedefine/>
    <w:qFormat/>
    <w:rsid w:val="009E294F"/>
    <w:pPr>
      <w:keepNext/>
      <w:numPr>
        <w:ilvl w:val="1"/>
        <w:numId w:val="2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autoSpaceDE w:val="0"/>
      <w:autoSpaceDN w:val="0"/>
      <w:spacing w:after="100"/>
      <w:jc w:val="both"/>
      <w:outlineLvl w:val="1"/>
    </w:pPr>
    <w:rPr>
      <w:rFonts w:cs="Arial"/>
      <w:b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9E294F"/>
    <w:pPr>
      <w:keepNext/>
      <w:numPr>
        <w:ilvl w:val="2"/>
        <w:numId w:val="37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autoSpaceDE w:val="0"/>
      <w:autoSpaceDN w:val="0"/>
      <w:spacing w:after="100"/>
      <w:jc w:val="both"/>
      <w:outlineLvl w:val="2"/>
    </w:pPr>
    <w:rPr>
      <w:rFonts w:cs="Arial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ZhlavChar">
    <w:name w:val="Záhlaví Char"/>
    <w:aliases w:val="1. Zeile Char"/>
    <w:link w:val="Zhlav"/>
    <w:rsid w:val="00CD0D32"/>
    <w:rPr>
      <w:rFonts w:ascii="Arial" w:hAnsi="Arial"/>
      <w:sz w:val="22"/>
      <w:szCs w:val="22"/>
    </w:rPr>
  </w:style>
  <w:style w:type="paragraph" w:customStyle="1" w:styleId="TCR-Odrazka1">
    <w:name w:val="TCR-Odrazka 1"/>
    <w:basedOn w:val="Normln"/>
    <w:rsid w:val="002537B6"/>
    <w:pPr>
      <w:numPr>
        <w:numId w:val="35"/>
      </w:numPr>
      <w:spacing w:line="280" w:lineRule="exact"/>
      <w:jc w:val="both"/>
    </w:pPr>
    <w:rPr>
      <w:sz w:val="19"/>
      <w:szCs w:val="24"/>
    </w:rPr>
  </w:style>
  <w:style w:type="paragraph" w:styleId="Zkladntext2">
    <w:name w:val="Body Text 2"/>
    <w:basedOn w:val="Normln"/>
    <w:link w:val="Zkladntext2Char"/>
    <w:rsid w:val="00F76368"/>
    <w:pPr>
      <w:spacing w:line="0" w:lineRule="atLeast"/>
      <w:jc w:val="both"/>
    </w:pPr>
    <w:rPr>
      <w:color w:val="FF000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76368"/>
    <w:rPr>
      <w:rFonts w:ascii="Arial" w:hAnsi="Arial"/>
      <w:color w:val="FF0000"/>
      <w:sz w:val="22"/>
      <w:szCs w:val="22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1664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16642"/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0A8F"/>
    <w:rPr>
      <w:rFonts w:ascii="Arial" w:hAnsi="Arial"/>
      <w:sz w:val="22"/>
      <w:szCs w:val="22"/>
    </w:rPr>
  </w:style>
  <w:style w:type="paragraph" w:styleId="Nadpis1">
    <w:name w:val="heading 1"/>
    <w:basedOn w:val="Normln"/>
    <w:next w:val="Normln"/>
    <w:autoRedefine/>
    <w:qFormat/>
    <w:rsid w:val="00463054"/>
    <w:pPr>
      <w:keepNext/>
      <w:numPr>
        <w:numId w:val="2"/>
      </w:numPr>
      <w:pBdr>
        <w:bottom w:val="single" w:sz="6" w:space="1" w:color="auto"/>
      </w:pBdr>
      <w:shd w:val="clear" w:color="auto" w:fill="D9D9D9" w:themeFill="background1" w:themeFillShade="D9"/>
      <w:tabs>
        <w:tab w:val="left" w:pos="936"/>
      </w:tabs>
      <w:spacing w:after="200" w:line="0" w:lineRule="atLeast"/>
      <w:ind w:left="425" w:hanging="425"/>
      <w:jc w:val="both"/>
      <w:outlineLvl w:val="0"/>
    </w:pPr>
    <w:rPr>
      <w:b/>
      <w:kern w:val="28"/>
      <w:szCs w:val="20"/>
      <w:lang w:eastAsia="cs-CZ"/>
    </w:rPr>
  </w:style>
  <w:style w:type="paragraph" w:styleId="Nadpis2">
    <w:name w:val="heading 2"/>
    <w:basedOn w:val="Normln"/>
    <w:next w:val="Normln"/>
    <w:autoRedefine/>
    <w:qFormat/>
    <w:rsid w:val="009E294F"/>
    <w:pPr>
      <w:keepNext/>
      <w:numPr>
        <w:ilvl w:val="1"/>
        <w:numId w:val="29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autoSpaceDE w:val="0"/>
      <w:autoSpaceDN w:val="0"/>
      <w:spacing w:after="100"/>
      <w:jc w:val="both"/>
      <w:outlineLvl w:val="1"/>
    </w:pPr>
    <w:rPr>
      <w:rFonts w:cs="Arial"/>
      <w:b/>
      <w:szCs w:val="20"/>
      <w:u w:val="single"/>
      <w:lang w:eastAsia="cs-CZ"/>
    </w:rPr>
  </w:style>
  <w:style w:type="paragraph" w:styleId="Nadpis3">
    <w:name w:val="heading 3"/>
    <w:basedOn w:val="Normln"/>
    <w:next w:val="Normln"/>
    <w:autoRedefine/>
    <w:qFormat/>
    <w:rsid w:val="009E294F"/>
    <w:pPr>
      <w:keepNext/>
      <w:numPr>
        <w:ilvl w:val="2"/>
        <w:numId w:val="37"/>
      </w:num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autoSpaceDE w:val="0"/>
      <w:autoSpaceDN w:val="0"/>
      <w:spacing w:after="100"/>
      <w:jc w:val="both"/>
      <w:outlineLvl w:val="2"/>
    </w:pPr>
    <w:rPr>
      <w:rFonts w:cs="Arial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autoRedefine/>
    <w:pPr>
      <w:jc w:val="both"/>
    </w:pPr>
  </w:style>
  <w:style w:type="paragraph" w:customStyle="1" w:styleId="StylNadpis1Bezpodtren">
    <w:name w:val="Styl Nadpis 1 + Bez podtržení"/>
    <w:basedOn w:val="Nadpis1"/>
    <w:autoRedefine/>
    <w:pPr>
      <w:tabs>
        <w:tab w:val="left" w:pos="851"/>
      </w:tabs>
    </w:pPr>
  </w:style>
  <w:style w:type="paragraph" w:styleId="Zhlav">
    <w:name w:val="header"/>
    <w:aliases w:val="1. Zeile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542404"/>
    <w:pPr>
      <w:tabs>
        <w:tab w:val="left" w:pos="540"/>
        <w:tab w:val="right" w:leader="dot" w:pos="9060"/>
      </w:tabs>
      <w:ind w:left="567" w:hanging="567"/>
    </w:pPr>
    <w:rPr>
      <w:noProof/>
      <w:sz w:val="18"/>
    </w:rPr>
  </w:style>
  <w:style w:type="paragraph" w:styleId="Obsah2">
    <w:name w:val="toc 2"/>
    <w:basedOn w:val="Normln"/>
    <w:next w:val="Normln"/>
    <w:autoRedefine/>
    <w:uiPriority w:val="39"/>
    <w:rsid w:val="005263B5"/>
    <w:pPr>
      <w:tabs>
        <w:tab w:val="left" w:pos="720"/>
        <w:tab w:val="left" w:pos="1100"/>
        <w:tab w:val="right" w:leader="dot" w:pos="9060"/>
      </w:tabs>
      <w:ind w:left="720" w:hanging="500"/>
    </w:pPr>
    <w:rPr>
      <w:noProof/>
      <w:sz w:val="18"/>
    </w:rPr>
  </w:style>
  <w:style w:type="character" w:styleId="Hypertextovodkaz">
    <w:name w:val="Hyperlink"/>
    <w:basedOn w:val="Standardnpsmoodstavce"/>
    <w:uiPriority w:val="99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5263B5"/>
    <w:pPr>
      <w:tabs>
        <w:tab w:val="left" w:pos="851"/>
        <w:tab w:val="right" w:leader="dot" w:pos="9060"/>
      </w:tabs>
      <w:spacing w:line="0" w:lineRule="atLeast"/>
      <w:ind w:left="851" w:hanging="409"/>
    </w:pPr>
    <w:rPr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32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32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73260"/>
    <w:pPr>
      <w:ind w:left="720"/>
      <w:contextualSpacing/>
    </w:pPr>
  </w:style>
  <w:style w:type="table" w:styleId="Mkatabulky">
    <w:name w:val="Table Grid"/>
    <w:basedOn w:val="Normlntabulka"/>
    <w:uiPriority w:val="59"/>
    <w:rsid w:val="00F71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semiHidden/>
    <w:rsid w:val="00280A8F"/>
    <w:rPr>
      <w:rFonts w:ascii="Arial" w:hAnsi="Arial"/>
      <w:sz w:val="22"/>
      <w:szCs w:val="22"/>
    </w:rPr>
  </w:style>
  <w:style w:type="character" w:customStyle="1" w:styleId="ZhlavChar">
    <w:name w:val="Záhlaví Char"/>
    <w:aliases w:val="1. Zeile Char"/>
    <w:link w:val="Zhlav"/>
    <w:rsid w:val="00CD0D32"/>
    <w:rPr>
      <w:rFonts w:ascii="Arial" w:hAnsi="Arial"/>
      <w:sz w:val="22"/>
      <w:szCs w:val="22"/>
    </w:rPr>
  </w:style>
  <w:style w:type="paragraph" w:customStyle="1" w:styleId="TCR-Odrazka1">
    <w:name w:val="TCR-Odrazka 1"/>
    <w:basedOn w:val="Normln"/>
    <w:rsid w:val="002537B6"/>
    <w:pPr>
      <w:numPr>
        <w:numId w:val="35"/>
      </w:numPr>
      <w:spacing w:line="280" w:lineRule="exact"/>
      <w:jc w:val="both"/>
    </w:pPr>
    <w:rPr>
      <w:sz w:val="19"/>
      <w:szCs w:val="24"/>
    </w:rPr>
  </w:style>
  <w:style w:type="paragraph" w:styleId="Zkladntext2">
    <w:name w:val="Body Text 2"/>
    <w:basedOn w:val="Normln"/>
    <w:link w:val="Zkladntext2Char"/>
    <w:rsid w:val="00F76368"/>
    <w:pPr>
      <w:spacing w:line="0" w:lineRule="atLeast"/>
      <w:jc w:val="both"/>
    </w:pPr>
    <w:rPr>
      <w:color w:val="FF000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F76368"/>
    <w:rPr>
      <w:rFonts w:ascii="Arial" w:hAnsi="Arial"/>
      <w:color w:val="FF0000"/>
      <w:sz w:val="22"/>
      <w:szCs w:val="22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01664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16642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B87F-66BE-4405-B390-EE445472A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1773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D12a Technická zpráva</vt:lpstr>
    </vt:vector>
  </TitlesOfParts>
  <Company>SATER - PROJEKT s.r.o.</Company>
  <LinksUpToDate>false</LinksUpToDate>
  <CharactersWithSpaces>12215</CharactersWithSpaces>
  <SharedDoc>false</SharedDoc>
  <HLinks>
    <vt:vector size="84" baseType="variant">
      <vt:variant>
        <vt:i4>2293843</vt:i4>
      </vt:variant>
      <vt:variant>
        <vt:i4>81</vt:i4>
      </vt:variant>
      <vt:variant>
        <vt:i4>0</vt:i4>
      </vt:variant>
      <vt:variant>
        <vt:i4>5</vt:i4>
      </vt:variant>
      <vt:variant>
        <vt:lpwstr>mailto:info@sater-projekt.cz</vt:lpwstr>
      </vt:variant>
      <vt:variant>
        <vt:lpwstr/>
      </vt:variant>
      <vt:variant>
        <vt:i4>1900594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_Toc155573190</vt:lpwstr>
      </vt:variant>
      <vt:variant>
        <vt:i4>1835058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_Toc155573189</vt:lpwstr>
      </vt:variant>
      <vt:variant>
        <vt:i4>1835058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_Toc155573188</vt:lpwstr>
      </vt:variant>
      <vt:variant>
        <vt:i4>1835058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_Toc155573187</vt:lpwstr>
      </vt:variant>
      <vt:variant>
        <vt:i4>1835058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_Toc155573186</vt:lpwstr>
      </vt:variant>
      <vt:variant>
        <vt:i4>1835058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_Toc155573185</vt:lpwstr>
      </vt:variant>
      <vt:variant>
        <vt:i4>1835058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_Toc155573184</vt:lpwstr>
      </vt:variant>
      <vt:variant>
        <vt:i4>1835058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_Toc155573183</vt:lpwstr>
      </vt:variant>
      <vt:variant>
        <vt:i4>1835058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_Toc155573182</vt:lpwstr>
      </vt:variant>
      <vt:variant>
        <vt:i4>1835058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_Toc155573181</vt:lpwstr>
      </vt:variant>
      <vt:variant>
        <vt:i4>1835058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_Toc155573180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_Toc155573179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_Toc155573178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D12a Technická zpráva</dc:title>
  <dc:creator>zdenek.dobias@sater-projekt.cz</dc:creator>
  <cp:lastModifiedBy>Marek Pařízek</cp:lastModifiedBy>
  <cp:revision>27</cp:revision>
  <cp:lastPrinted>2019-06-12T11:37:00Z</cp:lastPrinted>
  <dcterms:created xsi:type="dcterms:W3CDTF">2018-09-05T10:08:00Z</dcterms:created>
  <dcterms:modified xsi:type="dcterms:W3CDTF">2019-06-12T11:38:00Z</dcterms:modified>
</cp:coreProperties>
</file>